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Occupational Therapy Functional Assessment</w:t>
      </w:r>
    </w:p>
    <w:p>
      <w:r>
        <w:rPr>
          <w:b/>
          <w:color w:val="9C0006"/>
        </w:rPr>
        <w:t>SYNTHETIC TEST DOCUMENT — FICTIONAL — NOT FOR FILING, RELIANCE OR EXTERNAL USE</w:t>
      </w:r>
    </w:p>
    <w:tbl>
      <w:tblPr>
        <w:tblStyle w:val="TableGrid"/>
        <w:tblW w:type="auto" w:w="0"/>
        <w:jc w:val="center"/>
        <w:tblLook w:firstColumn="1" w:firstRow="1" w:lastColumn="0" w:lastRow="0" w:noHBand="0" w:noVBand="1" w:val="04A0"/>
      </w:tblPr>
      <w:tblGrid>
        <w:gridCol w:w="5112"/>
        <w:gridCol w:w="5112"/>
      </w:tblGrid>
      <w:tr>
        <w:tc>
          <w:tcPr>
            <w:tcW w:type="dxa" w:w="5112"/>
            <w:vAlign w:val="top"/>
          </w:tcPr>
          <w:p>
            <w:r/>
            <w:r>
              <w:rPr>
                <w:rFonts w:ascii="Arial" w:hAnsi="Arial"/>
                <w:b/>
                <w:sz w:val="18"/>
              </w:rPr>
              <w:t>Document ID</w:t>
            </w:r>
          </w:p>
        </w:tc>
        <w:tc>
          <w:tcPr>
            <w:tcW w:type="dxa" w:w="5112"/>
            <w:vAlign w:val="top"/>
          </w:tcPr>
          <w:p>
            <w:r/>
            <w:r>
              <w:rPr>
                <w:rFonts w:ascii="Arial" w:hAnsi="Arial"/>
                <w:b w:val="0"/>
                <w:sz w:val="18"/>
              </w:rPr>
              <w:t>TD-RD-013</w:t>
            </w:r>
          </w:p>
        </w:tc>
      </w:tr>
      <w:tr>
        <w:tc>
          <w:tcPr>
            <w:tcW w:type="dxa" w:w="5112"/>
            <w:vAlign w:val="top"/>
          </w:tcPr>
          <w:p>
            <w:r/>
            <w:r>
              <w:rPr>
                <w:rFonts w:ascii="Arial" w:hAnsi="Arial"/>
                <w:b/>
                <w:sz w:val="18"/>
              </w:rPr>
              <w:t>Assessment date</w:t>
            </w:r>
          </w:p>
        </w:tc>
        <w:tc>
          <w:tcPr>
            <w:tcW w:type="dxa" w:w="5112"/>
            <w:vAlign w:val="top"/>
          </w:tcPr>
          <w:p>
            <w:r/>
            <w:r>
              <w:rPr>
                <w:rFonts w:ascii="Arial" w:hAnsi="Arial"/>
                <w:b w:val="0"/>
                <w:sz w:val="18"/>
              </w:rPr>
              <w:t>24 February 2025</w:t>
            </w:r>
          </w:p>
        </w:tc>
      </w:tr>
      <w:tr>
        <w:tc>
          <w:tcPr>
            <w:tcW w:type="dxa" w:w="5112"/>
            <w:vAlign w:val="top"/>
          </w:tcPr>
          <w:p>
            <w:r/>
            <w:r>
              <w:rPr>
                <w:rFonts w:ascii="Arial" w:hAnsi="Arial"/>
                <w:b/>
                <w:sz w:val="18"/>
              </w:rPr>
              <w:t>Service user</w:t>
            </w:r>
          </w:p>
        </w:tc>
        <w:tc>
          <w:tcPr>
            <w:tcW w:type="dxa" w:w="5112"/>
            <w:vAlign w:val="top"/>
          </w:tcPr>
          <w:p>
            <w:r/>
            <w:r>
              <w:rPr>
                <w:rFonts w:ascii="Arial" w:hAnsi="Arial"/>
                <w:b w:val="0"/>
                <w:sz w:val="18"/>
              </w:rPr>
              <w:t>Ms Amina Nkechinyere Adebayo-Ogunleye-Fitzpatrick</w:t>
            </w:r>
          </w:p>
        </w:tc>
      </w:tr>
      <w:tr>
        <w:tc>
          <w:tcPr>
            <w:tcW w:type="dxa" w:w="5112"/>
            <w:vAlign w:val="top"/>
          </w:tcPr>
          <w:p>
            <w:r/>
            <w:r>
              <w:rPr>
                <w:rFonts w:ascii="Arial" w:hAnsi="Arial"/>
                <w:b/>
                <w:sz w:val="18"/>
              </w:rPr>
              <w:t>Address</w:t>
            </w:r>
          </w:p>
        </w:tc>
        <w:tc>
          <w:tcPr>
            <w:tcW w:type="dxa" w:w="5112"/>
            <w:vAlign w:val="top"/>
          </w:tcPr>
          <w:p>
            <w:r/>
            <w:r>
              <w:rPr>
                <w:rFonts w:ascii="Arial" w:hAnsi="Arial"/>
                <w:b w:val="0"/>
                <w:sz w:val="18"/>
              </w:rPr>
              <w:t>Flat 14, Temple Wharf House, Northborough NB4 7QT</w:t>
            </w:r>
          </w:p>
        </w:tc>
      </w:tr>
      <w:tr>
        <w:tc>
          <w:tcPr>
            <w:tcW w:type="dxa" w:w="5112"/>
            <w:vAlign w:val="top"/>
          </w:tcPr>
          <w:p>
            <w:r/>
            <w:r>
              <w:rPr>
                <w:rFonts w:ascii="Arial" w:hAnsi="Arial"/>
                <w:b/>
                <w:sz w:val="18"/>
              </w:rPr>
              <w:t>Assessor</w:t>
            </w:r>
          </w:p>
        </w:tc>
        <w:tc>
          <w:tcPr>
            <w:tcW w:type="dxa" w:w="5112"/>
            <w:vAlign w:val="top"/>
          </w:tcPr>
          <w:p>
            <w:r/>
            <w:r>
              <w:rPr>
                <w:rFonts w:ascii="Arial" w:hAnsi="Arial"/>
                <w:b w:val="0"/>
                <w:sz w:val="18"/>
              </w:rPr>
              <w:t>Helen Ward, Senior Occupational Therapist (fictional)</w:t>
            </w:r>
          </w:p>
        </w:tc>
      </w:tr>
      <w:tr>
        <w:tc>
          <w:tcPr>
            <w:tcW w:type="dxa" w:w="5112"/>
            <w:vAlign w:val="top"/>
          </w:tcPr>
          <w:p>
            <w:r/>
            <w:r>
              <w:rPr>
                <w:rFonts w:ascii="Arial" w:hAnsi="Arial"/>
                <w:b/>
                <w:sz w:val="18"/>
              </w:rPr>
              <w:t>Referral source</w:t>
            </w:r>
          </w:p>
        </w:tc>
        <w:tc>
          <w:tcPr>
            <w:tcW w:type="dxa" w:w="5112"/>
            <w:vAlign w:val="top"/>
          </w:tcPr>
          <w:p>
            <w:r/>
            <w:r>
              <w:rPr>
                <w:rFonts w:ascii="Arial" w:hAnsi="Arial"/>
                <w:b w:val="0"/>
                <w:sz w:val="18"/>
              </w:rPr>
              <w:t>Northborough GP Access Team</w:t>
            </w:r>
          </w:p>
        </w:tc>
      </w:tr>
      <w:tr>
        <w:tc>
          <w:tcPr>
            <w:tcW w:type="dxa" w:w="5112"/>
            <w:vAlign w:val="top"/>
          </w:tcPr>
          <w:p>
            <w:r/>
            <w:r>
              <w:rPr>
                <w:rFonts w:ascii="Arial" w:hAnsi="Arial"/>
                <w:b/>
                <w:sz w:val="18"/>
              </w:rPr>
              <w:t>Purpose</w:t>
            </w:r>
          </w:p>
        </w:tc>
        <w:tc>
          <w:tcPr>
            <w:tcW w:type="dxa" w:w="5112"/>
            <w:vAlign w:val="top"/>
          </w:tcPr>
          <w:p>
            <w:r/>
            <w:r>
              <w:rPr>
                <w:rFonts w:ascii="Arial" w:hAnsi="Arial"/>
                <w:b w:val="0"/>
                <w:sz w:val="18"/>
              </w:rPr>
              <w:t>Functional assessment for housing adaptations and possible accessible relocation</w:t>
            </w:r>
          </w:p>
        </w:tc>
      </w:tr>
    </w:tbl>
    <w:p>
      <w:pPr>
        <w:pStyle w:val="Heading1"/>
      </w:pPr>
      <w:r>
        <w:t>Referral and consent</w:t>
      </w:r>
    </w:p>
    <w:p>
      <w:r>
        <w:t>Ms Adebayo-Ogunleye-Fitzpatrick consented to an assessment of mobility, transfers, personal care and access within the home. She also consented to a functional summary being shared with Rivergate Community Housing Association and Northborough City Council Housing Options. She did not consent to disclosure of unrelated historic mental-health notes.</w:t>
      </w:r>
    </w:p>
    <w:p>
      <w:pPr>
        <w:pStyle w:val="Heading1"/>
      </w:pPr>
      <w:r>
        <w:t>Reported conditions and functional effects</w:t>
      </w:r>
    </w:p>
    <w:p>
      <w:pPr>
        <w:pStyle w:val="ListBullet"/>
      </w:pPr>
      <w:r>
        <w:t>Relapsing-remitting multiple sclerosis, with fatigue, lower-limb weakness and variable balance.</w:t>
      </w:r>
    </w:p>
    <w:p>
      <w:pPr>
        <w:pStyle w:val="ListBullet"/>
      </w:pPr>
      <w:r>
        <w:t>Chronic neuropathic pain affecting standing tolerance and safe transfers.</w:t>
      </w:r>
    </w:p>
    <w:p>
      <w:pPr>
        <w:pStyle w:val="ListBullet"/>
      </w:pPr>
      <w:r>
        <w:t>Urgency symptoms requiring reliable and rapid access to bathroom facilities.</w:t>
      </w:r>
    </w:p>
    <w:p>
      <w:pPr>
        <w:pStyle w:val="ListBullet"/>
      </w:pPr>
      <w:r>
        <w:t>Manual wheelchair use outside the home and on high-fatigue days; walking frame for short indoor distances.</w:t>
      </w:r>
    </w:p>
    <w:p>
      <w:pPr>
        <w:pStyle w:val="ListBullet"/>
      </w:pPr>
      <w:r>
        <w:t>Two reported falls in the bathroom during the previous six months, one requiring neighbour assistance.</w:t>
      </w:r>
    </w:p>
    <w:p>
      <w:r>
        <w:t>This report records functional presentation on the assessment date. It does not determine eligibility for welfare benefits, allocation priority or legal liability.</w:t>
      </w:r>
    </w:p>
    <w:p>
      <w:r>
        <w:br w:type="page"/>
      </w:r>
    </w:p>
    <w:p>
      <w:pPr>
        <w:pStyle w:val="Heading1"/>
      </w:pPr>
      <w:r>
        <w:t>Environmental assessment</w:t>
      </w:r>
    </w:p>
    <w:tbl>
      <w:tblPr>
        <w:tblStyle w:val="TableGrid"/>
        <w:tblW w:type="auto" w:w="0"/>
        <w:tblLook w:firstColumn="1" w:firstRow="1" w:lastColumn="0" w:lastRow="0" w:noHBand="0" w:noVBand="1" w:val="04A0"/>
      </w:tblPr>
      <w:tblGrid>
        <w:gridCol w:w="2045"/>
        <w:gridCol w:w="2045"/>
        <w:gridCol w:w="2045"/>
        <w:gridCol w:w="2045"/>
        <w:gridCol w:w="2045"/>
      </w:tblGrid>
      <w:tr>
        <w:tc>
          <w:tcPr>
            <w:tcW w:type="dxa" w:w="2045"/>
            <w:vAlign w:val="top"/>
          </w:tcPr>
          <w:p>
            <w:r/>
            <w:r>
              <w:rPr>
                <w:rFonts w:ascii="Arial" w:hAnsi="Arial"/>
                <w:b/>
                <w:color w:val="FFFFFF"/>
                <w:sz w:val="18"/>
              </w:rPr>
              <w:t>Area</w:t>
            </w:r>
          </w:p>
        </w:tc>
        <w:tc>
          <w:tcPr>
            <w:tcW w:type="dxa" w:w="2045"/>
            <w:vAlign w:val="top"/>
          </w:tcPr>
          <w:p>
            <w:r/>
            <w:r>
              <w:rPr>
                <w:rFonts w:ascii="Arial" w:hAnsi="Arial"/>
                <w:b/>
                <w:color w:val="FFFFFF"/>
                <w:sz w:val="18"/>
              </w:rPr>
              <w:t>Observed barrier</w:t>
            </w:r>
          </w:p>
        </w:tc>
        <w:tc>
          <w:tcPr>
            <w:tcW w:type="dxa" w:w="2045"/>
            <w:vAlign w:val="top"/>
          </w:tcPr>
          <w:p>
            <w:r/>
            <w:r>
              <w:rPr>
                <w:rFonts w:ascii="Arial" w:hAnsi="Arial"/>
                <w:b/>
                <w:color w:val="FFFFFF"/>
                <w:sz w:val="18"/>
              </w:rPr>
              <w:t>Functional consequence</w:t>
            </w:r>
          </w:p>
        </w:tc>
        <w:tc>
          <w:tcPr>
            <w:tcW w:type="dxa" w:w="2045"/>
            <w:vAlign w:val="top"/>
          </w:tcPr>
          <w:p>
            <w:r/>
            <w:r>
              <w:rPr>
                <w:rFonts w:ascii="Arial" w:hAnsi="Arial"/>
                <w:b/>
                <w:color w:val="FFFFFF"/>
                <w:sz w:val="18"/>
              </w:rPr>
              <w:t>Risk</w:t>
            </w:r>
          </w:p>
        </w:tc>
        <w:tc>
          <w:tcPr>
            <w:tcW w:type="dxa" w:w="2045"/>
            <w:vAlign w:val="top"/>
          </w:tcPr>
          <w:p>
            <w:r/>
            <w:r>
              <w:rPr>
                <w:rFonts w:ascii="Arial" w:hAnsi="Arial"/>
                <w:b/>
                <w:color w:val="FFFFFF"/>
                <w:sz w:val="18"/>
              </w:rPr>
              <w:t>Suggested response</w:t>
            </w:r>
          </w:p>
        </w:tc>
      </w:tr>
      <w:tr>
        <w:tc>
          <w:tcPr>
            <w:tcW w:type="dxa" w:w="2045"/>
            <w:vAlign w:val="top"/>
          </w:tcPr>
          <w:p>
            <w:r/>
            <w:r>
              <w:rPr>
                <w:rFonts w:ascii="Arial" w:hAnsi="Arial"/>
                <w:b w:val="0"/>
                <w:sz w:val="16"/>
              </w:rPr>
              <w:t>Communal entrance</w:t>
            </w:r>
          </w:p>
        </w:tc>
        <w:tc>
          <w:tcPr>
            <w:tcW w:type="dxa" w:w="2045"/>
            <w:vAlign w:val="top"/>
          </w:tcPr>
          <w:p>
            <w:r/>
            <w:r>
              <w:rPr>
                <w:rFonts w:ascii="Arial" w:hAnsi="Arial"/>
                <w:b w:val="0"/>
                <w:sz w:val="16"/>
              </w:rPr>
              <w:t>42 mm threshold and heavy self-closing door</w:t>
            </w:r>
          </w:p>
        </w:tc>
        <w:tc>
          <w:tcPr>
            <w:tcW w:type="dxa" w:w="2045"/>
            <w:vAlign w:val="top"/>
          </w:tcPr>
          <w:p>
            <w:r/>
            <w:r>
              <w:rPr>
                <w:rFonts w:ascii="Arial" w:hAnsi="Arial"/>
                <w:b w:val="0"/>
                <w:sz w:val="16"/>
              </w:rPr>
              <w:t>Wheelchair cannot be independently propelled over threshold while controlling door</w:t>
            </w:r>
          </w:p>
        </w:tc>
        <w:tc>
          <w:tcPr>
            <w:tcW w:type="dxa" w:w="2045"/>
            <w:vAlign w:val="top"/>
          </w:tcPr>
          <w:p>
            <w:r/>
            <w:r>
              <w:rPr>
                <w:rFonts w:ascii="Arial" w:hAnsi="Arial"/>
                <w:b w:val="0"/>
                <w:sz w:val="16"/>
              </w:rPr>
              <w:t>High</w:t>
            </w:r>
          </w:p>
        </w:tc>
        <w:tc>
          <w:tcPr>
            <w:tcW w:type="dxa" w:w="2045"/>
            <w:vAlign w:val="top"/>
          </w:tcPr>
          <w:p>
            <w:r/>
            <w:r>
              <w:rPr>
                <w:rFonts w:ascii="Arial" w:hAnsi="Arial"/>
                <w:b w:val="0"/>
                <w:sz w:val="16"/>
              </w:rPr>
              <w:t>Threshold solution; powered opener; review fire-door requirements</w:t>
            </w:r>
          </w:p>
        </w:tc>
      </w:tr>
      <w:tr>
        <w:tc>
          <w:tcPr>
            <w:tcW w:type="dxa" w:w="2045"/>
            <w:vAlign w:val="top"/>
          </w:tcPr>
          <w:p>
            <w:r/>
            <w:r>
              <w:rPr>
                <w:rFonts w:ascii="Arial" w:hAnsi="Arial"/>
                <w:b w:val="0"/>
                <w:sz w:val="16"/>
              </w:rPr>
              <w:t>Lift</w:t>
            </w:r>
          </w:p>
        </w:tc>
        <w:tc>
          <w:tcPr>
            <w:tcW w:type="dxa" w:w="2045"/>
            <w:vAlign w:val="top"/>
          </w:tcPr>
          <w:p>
            <w:r/>
            <w:r>
              <w:rPr>
                <w:rFonts w:ascii="Arial" w:hAnsi="Arial"/>
                <w:b w:val="0"/>
                <w:sz w:val="16"/>
              </w:rPr>
              <w:t>Single lift; outage history reported</w:t>
            </w:r>
          </w:p>
        </w:tc>
        <w:tc>
          <w:tcPr>
            <w:tcW w:type="dxa" w:w="2045"/>
            <w:vAlign w:val="top"/>
          </w:tcPr>
          <w:p>
            <w:r/>
            <w:r>
              <w:rPr>
                <w:rFonts w:ascii="Arial" w:hAnsi="Arial"/>
                <w:b w:val="0"/>
                <w:sz w:val="16"/>
              </w:rPr>
              <w:t>No step-free alternative from fourth floor</w:t>
            </w:r>
          </w:p>
        </w:tc>
        <w:tc>
          <w:tcPr>
            <w:tcW w:type="dxa" w:w="2045"/>
            <w:vAlign w:val="top"/>
          </w:tcPr>
          <w:p>
            <w:r/>
            <w:r>
              <w:rPr>
                <w:rFonts w:ascii="Arial" w:hAnsi="Arial"/>
                <w:b w:val="0"/>
                <w:sz w:val="16"/>
              </w:rPr>
              <w:t>High</w:t>
            </w:r>
          </w:p>
        </w:tc>
        <w:tc>
          <w:tcPr>
            <w:tcW w:type="dxa" w:w="2045"/>
            <w:vAlign w:val="top"/>
          </w:tcPr>
          <w:p>
            <w:r/>
            <w:r>
              <w:rPr>
                <w:rFonts w:ascii="Arial" w:hAnsi="Arial"/>
                <w:b w:val="0"/>
                <w:sz w:val="16"/>
              </w:rPr>
              <w:t>Contingency plan and priority repair escalation</w:t>
            </w:r>
          </w:p>
        </w:tc>
      </w:tr>
      <w:tr>
        <w:tc>
          <w:tcPr>
            <w:tcW w:type="dxa" w:w="2045"/>
            <w:vAlign w:val="top"/>
          </w:tcPr>
          <w:p>
            <w:r/>
            <w:r>
              <w:rPr>
                <w:rFonts w:ascii="Arial" w:hAnsi="Arial"/>
                <w:b w:val="0"/>
                <w:sz w:val="16"/>
              </w:rPr>
              <w:t>Hallway</w:t>
            </w:r>
          </w:p>
        </w:tc>
        <w:tc>
          <w:tcPr>
            <w:tcW w:type="dxa" w:w="2045"/>
            <w:vAlign w:val="top"/>
          </w:tcPr>
          <w:p>
            <w:r/>
            <w:r>
              <w:rPr>
                <w:rFonts w:ascii="Arial" w:hAnsi="Arial"/>
                <w:b w:val="0"/>
                <w:sz w:val="16"/>
              </w:rPr>
              <w:t>Clear width approximately 790 mm at narrowest point</w:t>
            </w:r>
          </w:p>
        </w:tc>
        <w:tc>
          <w:tcPr>
            <w:tcW w:type="dxa" w:w="2045"/>
            <w:vAlign w:val="top"/>
          </w:tcPr>
          <w:p>
            <w:r/>
            <w:r>
              <w:rPr>
                <w:rFonts w:ascii="Arial" w:hAnsi="Arial"/>
                <w:b w:val="0"/>
                <w:sz w:val="16"/>
              </w:rPr>
              <w:t>Limited turning circle; wall impacts</w:t>
            </w:r>
          </w:p>
        </w:tc>
        <w:tc>
          <w:tcPr>
            <w:tcW w:type="dxa" w:w="2045"/>
            <w:vAlign w:val="top"/>
          </w:tcPr>
          <w:p>
            <w:r/>
            <w:r>
              <w:rPr>
                <w:rFonts w:ascii="Arial" w:hAnsi="Arial"/>
                <w:b w:val="0"/>
                <w:sz w:val="16"/>
              </w:rPr>
              <w:t>Medium</w:t>
            </w:r>
          </w:p>
        </w:tc>
        <w:tc>
          <w:tcPr>
            <w:tcW w:type="dxa" w:w="2045"/>
            <w:vAlign w:val="top"/>
          </w:tcPr>
          <w:p>
            <w:r/>
            <w:r>
              <w:rPr>
                <w:rFonts w:ascii="Arial" w:hAnsi="Arial"/>
                <w:b w:val="0"/>
                <w:sz w:val="16"/>
              </w:rPr>
              <w:t>Remove projecting storage; assess door rehang</w:t>
            </w:r>
          </w:p>
        </w:tc>
      </w:tr>
      <w:tr>
        <w:tc>
          <w:tcPr>
            <w:tcW w:type="dxa" w:w="2045"/>
            <w:vAlign w:val="top"/>
          </w:tcPr>
          <w:p>
            <w:r/>
            <w:r>
              <w:rPr>
                <w:rFonts w:ascii="Arial" w:hAnsi="Arial"/>
                <w:b w:val="0"/>
                <w:sz w:val="16"/>
              </w:rPr>
              <w:t>Bathroom</w:t>
            </w:r>
          </w:p>
        </w:tc>
        <w:tc>
          <w:tcPr>
            <w:tcW w:type="dxa" w:w="2045"/>
            <w:vAlign w:val="top"/>
          </w:tcPr>
          <w:p>
            <w:r/>
            <w:r>
              <w:rPr>
                <w:rFonts w:ascii="Arial" w:hAnsi="Arial"/>
                <w:b w:val="0"/>
                <w:sz w:val="16"/>
              </w:rPr>
              <w:t>Bath with 510 mm side height; no level-access shower</w:t>
            </w:r>
          </w:p>
        </w:tc>
        <w:tc>
          <w:tcPr>
            <w:tcW w:type="dxa" w:w="2045"/>
            <w:vAlign w:val="top"/>
          </w:tcPr>
          <w:p>
            <w:r/>
            <w:r>
              <w:rPr>
                <w:rFonts w:ascii="Arial" w:hAnsi="Arial"/>
                <w:b w:val="0"/>
                <w:sz w:val="16"/>
              </w:rPr>
              <w:t>Unsafe transfer; falls risk; assistance required</w:t>
            </w:r>
          </w:p>
        </w:tc>
        <w:tc>
          <w:tcPr>
            <w:tcW w:type="dxa" w:w="2045"/>
            <w:vAlign w:val="top"/>
          </w:tcPr>
          <w:p>
            <w:r/>
            <w:r>
              <w:rPr>
                <w:rFonts w:ascii="Arial" w:hAnsi="Arial"/>
                <w:b w:val="0"/>
                <w:sz w:val="16"/>
              </w:rPr>
              <w:t>High</w:t>
            </w:r>
          </w:p>
        </w:tc>
        <w:tc>
          <w:tcPr>
            <w:tcW w:type="dxa" w:w="2045"/>
            <w:vAlign w:val="top"/>
          </w:tcPr>
          <w:p>
            <w:r/>
            <w:r>
              <w:rPr>
                <w:rFonts w:ascii="Arial" w:hAnsi="Arial"/>
                <w:b w:val="0"/>
                <w:sz w:val="16"/>
              </w:rPr>
              <w:t>Level-access shower or relocation to adapted property</w:t>
            </w:r>
          </w:p>
        </w:tc>
      </w:tr>
      <w:tr>
        <w:tc>
          <w:tcPr>
            <w:tcW w:type="dxa" w:w="2045"/>
            <w:vAlign w:val="top"/>
          </w:tcPr>
          <w:p>
            <w:r/>
            <w:r>
              <w:rPr>
                <w:rFonts w:ascii="Arial" w:hAnsi="Arial"/>
                <w:b w:val="0"/>
                <w:sz w:val="16"/>
              </w:rPr>
              <w:t>WC</w:t>
            </w:r>
          </w:p>
        </w:tc>
        <w:tc>
          <w:tcPr>
            <w:tcW w:type="dxa" w:w="2045"/>
            <w:vAlign w:val="top"/>
          </w:tcPr>
          <w:p>
            <w:r/>
            <w:r>
              <w:rPr>
                <w:rFonts w:ascii="Arial" w:hAnsi="Arial"/>
                <w:b w:val="0"/>
                <w:sz w:val="16"/>
              </w:rPr>
              <w:t>Restricted lateral transfer space</w:t>
            </w:r>
          </w:p>
        </w:tc>
        <w:tc>
          <w:tcPr>
            <w:tcW w:type="dxa" w:w="2045"/>
            <w:vAlign w:val="top"/>
          </w:tcPr>
          <w:p>
            <w:r/>
            <w:r>
              <w:rPr>
                <w:rFonts w:ascii="Arial" w:hAnsi="Arial"/>
                <w:b w:val="0"/>
                <w:sz w:val="16"/>
              </w:rPr>
              <w:t>Wheelchair cannot be positioned safely</w:t>
            </w:r>
          </w:p>
        </w:tc>
        <w:tc>
          <w:tcPr>
            <w:tcW w:type="dxa" w:w="2045"/>
            <w:vAlign w:val="top"/>
          </w:tcPr>
          <w:p>
            <w:r/>
            <w:r>
              <w:rPr>
                <w:rFonts w:ascii="Arial" w:hAnsi="Arial"/>
                <w:b w:val="0"/>
                <w:sz w:val="16"/>
              </w:rPr>
              <w:t>High</w:t>
            </w:r>
          </w:p>
        </w:tc>
        <w:tc>
          <w:tcPr>
            <w:tcW w:type="dxa" w:w="2045"/>
            <w:vAlign w:val="top"/>
          </w:tcPr>
          <w:p>
            <w:r/>
            <w:r>
              <w:rPr>
                <w:rFonts w:ascii="Arial" w:hAnsi="Arial"/>
                <w:b w:val="0"/>
                <w:sz w:val="16"/>
              </w:rPr>
              <w:t>Reconfiguration subject to structural survey</w:t>
            </w:r>
          </w:p>
        </w:tc>
      </w:tr>
      <w:tr>
        <w:tc>
          <w:tcPr>
            <w:tcW w:type="dxa" w:w="2045"/>
            <w:vAlign w:val="top"/>
          </w:tcPr>
          <w:p>
            <w:r/>
            <w:r>
              <w:rPr>
                <w:rFonts w:ascii="Arial" w:hAnsi="Arial"/>
                <w:b w:val="0"/>
                <w:sz w:val="16"/>
              </w:rPr>
              <w:t>Kitchen</w:t>
            </w:r>
          </w:p>
        </w:tc>
        <w:tc>
          <w:tcPr>
            <w:tcW w:type="dxa" w:w="2045"/>
            <w:vAlign w:val="top"/>
          </w:tcPr>
          <w:p>
            <w:r/>
            <w:r>
              <w:rPr>
                <w:rFonts w:ascii="Arial" w:hAnsi="Arial"/>
                <w:b w:val="0"/>
                <w:sz w:val="16"/>
              </w:rPr>
              <w:t>Fixed-height worktops and high wall cupboards</w:t>
            </w:r>
          </w:p>
        </w:tc>
        <w:tc>
          <w:tcPr>
            <w:tcW w:type="dxa" w:w="2045"/>
            <w:vAlign w:val="top"/>
          </w:tcPr>
          <w:p>
            <w:r/>
            <w:r>
              <w:rPr>
                <w:rFonts w:ascii="Arial" w:hAnsi="Arial"/>
                <w:b w:val="0"/>
                <w:sz w:val="16"/>
              </w:rPr>
              <w:t>Cannot prepare meals from wheelchair on fatigue days</w:t>
            </w:r>
          </w:p>
        </w:tc>
        <w:tc>
          <w:tcPr>
            <w:tcW w:type="dxa" w:w="2045"/>
            <w:vAlign w:val="top"/>
          </w:tcPr>
          <w:p>
            <w:r/>
            <w:r>
              <w:rPr>
                <w:rFonts w:ascii="Arial" w:hAnsi="Arial"/>
                <w:b w:val="0"/>
                <w:sz w:val="16"/>
              </w:rPr>
              <w:t>Medium</w:t>
            </w:r>
          </w:p>
        </w:tc>
        <w:tc>
          <w:tcPr>
            <w:tcW w:type="dxa" w:w="2045"/>
            <w:vAlign w:val="top"/>
          </w:tcPr>
          <w:p>
            <w:r/>
            <w:r>
              <w:rPr>
                <w:rFonts w:ascii="Arial" w:hAnsi="Arial"/>
                <w:b w:val="0"/>
                <w:sz w:val="16"/>
              </w:rPr>
              <w:t>Adapted work zone and pull-down storage</w:t>
            </w:r>
          </w:p>
        </w:tc>
      </w:tr>
      <w:tr>
        <w:tc>
          <w:tcPr>
            <w:tcW w:type="dxa" w:w="2045"/>
            <w:vAlign w:val="top"/>
          </w:tcPr>
          <w:p>
            <w:r/>
            <w:r>
              <w:rPr>
                <w:rFonts w:ascii="Arial" w:hAnsi="Arial"/>
                <w:b w:val="0"/>
                <w:sz w:val="16"/>
              </w:rPr>
              <w:t>Bedroom</w:t>
            </w:r>
          </w:p>
        </w:tc>
        <w:tc>
          <w:tcPr>
            <w:tcW w:type="dxa" w:w="2045"/>
            <w:vAlign w:val="top"/>
          </w:tcPr>
          <w:p>
            <w:r/>
            <w:r>
              <w:rPr>
                <w:rFonts w:ascii="Arial" w:hAnsi="Arial"/>
                <w:b w:val="0"/>
                <w:sz w:val="16"/>
              </w:rPr>
              <w:t>Limited transfer space beside bed</w:t>
            </w:r>
          </w:p>
        </w:tc>
        <w:tc>
          <w:tcPr>
            <w:tcW w:type="dxa" w:w="2045"/>
            <w:vAlign w:val="top"/>
          </w:tcPr>
          <w:p>
            <w:r/>
            <w:r>
              <w:rPr>
                <w:rFonts w:ascii="Arial" w:hAnsi="Arial"/>
                <w:b w:val="0"/>
                <w:sz w:val="16"/>
              </w:rPr>
              <w:t>Increased manual handling risk</w:t>
            </w:r>
          </w:p>
        </w:tc>
        <w:tc>
          <w:tcPr>
            <w:tcW w:type="dxa" w:w="2045"/>
            <w:vAlign w:val="top"/>
          </w:tcPr>
          <w:p>
            <w:r/>
            <w:r>
              <w:rPr>
                <w:rFonts w:ascii="Arial" w:hAnsi="Arial"/>
                <w:b w:val="0"/>
                <w:sz w:val="16"/>
              </w:rPr>
              <w:t>Medium</w:t>
            </w:r>
          </w:p>
        </w:tc>
        <w:tc>
          <w:tcPr>
            <w:tcW w:type="dxa" w:w="2045"/>
            <w:vAlign w:val="top"/>
          </w:tcPr>
          <w:p>
            <w:r/>
            <w:r>
              <w:rPr>
                <w:rFonts w:ascii="Arial" w:hAnsi="Arial"/>
                <w:b w:val="0"/>
                <w:sz w:val="16"/>
              </w:rPr>
              <w:t>Furniture reconfiguration; consider larger accessible unit</w:t>
            </w:r>
          </w:p>
        </w:tc>
      </w:tr>
    </w:tbl>
    <w:p>
      <w:pPr>
        <w:pStyle w:val="Heading2"/>
      </w:pPr>
      <w:r>
        <w:t>Measurements and limitations</w:t>
      </w:r>
    </w:p>
    <w:p>
      <w:r>
        <w:t>Measurements were taken using a handheld laser measure and should be verified before works. No intrusive inspection was undertaken. The assessor did not inspect service risers, drainage falls, electrical capacity or asbestos records. The tenant reported that the lift had failed three times since December 2024; this was not independently verified during the visit.</w:t>
      </w:r>
    </w:p>
    <w:p>
      <w:r>
        <w:br w:type="page"/>
      </w:r>
    </w:p>
    <w:p>
      <w:pPr>
        <w:pStyle w:val="Heading1"/>
      </w:pPr>
      <w:r>
        <w:t>Options appraisal</w:t>
      </w:r>
    </w:p>
    <w:tbl>
      <w:tblPr>
        <w:tblStyle w:val="TableGrid"/>
        <w:tblW w:type="auto" w:w="0"/>
        <w:tblLook w:firstColumn="1" w:firstRow="1" w:lastColumn="0" w:lastRow="0" w:noHBand="0" w:noVBand="1" w:val="04A0"/>
      </w:tblPr>
      <w:tblGrid>
        <w:gridCol w:w="2045"/>
        <w:gridCol w:w="2045"/>
        <w:gridCol w:w="2045"/>
        <w:gridCol w:w="2045"/>
        <w:gridCol w:w="2045"/>
      </w:tblGrid>
      <w:tr>
        <w:tc>
          <w:tcPr>
            <w:tcW w:type="dxa" w:w="2045"/>
            <w:vAlign w:val="top"/>
          </w:tcPr>
          <w:p>
            <w:r/>
            <w:r>
              <w:rPr>
                <w:rFonts w:ascii="Arial" w:hAnsi="Arial"/>
                <w:b/>
                <w:color w:val="FFFFFF"/>
                <w:sz w:val="18"/>
              </w:rPr>
              <w:t>Option</w:t>
            </w:r>
          </w:p>
        </w:tc>
        <w:tc>
          <w:tcPr>
            <w:tcW w:type="dxa" w:w="2045"/>
            <w:vAlign w:val="top"/>
          </w:tcPr>
          <w:p>
            <w:r/>
            <w:r>
              <w:rPr>
                <w:rFonts w:ascii="Arial" w:hAnsi="Arial"/>
                <w:b/>
                <w:color w:val="FFFFFF"/>
                <w:sz w:val="18"/>
              </w:rPr>
              <w:t>Benefit</w:t>
            </w:r>
          </w:p>
        </w:tc>
        <w:tc>
          <w:tcPr>
            <w:tcW w:type="dxa" w:w="2045"/>
            <w:vAlign w:val="top"/>
          </w:tcPr>
          <w:p>
            <w:r/>
            <w:r>
              <w:rPr>
                <w:rFonts w:ascii="Arial" w:hAnsi="Arial"/>
                <w:b/>
                <w:color w:val="FFFFFF"/>
                <w:sz w:val="18"/>
              </w:rPr>
              <w:t>Constraint</w:t>
            </w:r>
          </w:p>
        </w:tc>
        <w:tc>
          <w:tcPr>
            <w:tcW w:type="dxa" w:w="2045"/>
            <w:vAlign w:val="top"/>
          </w:tcPr>
          <w:p>
            <w:r/>
            <w:r>
              <w:rPr>
                <w:rFonts w:ascii="Arial" w:hAnsi="Arial"/>
                <w:b/>
                <w:color w:val="FFFFFF"/>
                <w:sz w:val="18"/>
              </w:rPr>
              <w:t>Indicative urgency</w:t>
            </w:r>
          </w:p>
        </w:tc>
        <w:tc>
          <w:tcPr>
            <w:tcW w:type="dxa" w:w="2045"/>
            <w:vAlign w:val="top"/>
          </w:tcPr>
          <w:p>
            <w:r/>
            <w:r>
              <w:rPr>
                <w:rFonts w:ascii="Arial" w:hAnsi="Arial"/>
                <w:b/>
                <w:color w:val="FFFFFF"/>
                <w:sz w:val="18"/>
              </w:rPr>
              <w:t>OT view</w:t>
            </w:r>
          </w:p>
        </w:tc>
      </w:tr>
      <w:tr>
        <w:tc>
          <w:tcPr>
            <w:tcW w:type="dxa" w:w="2045"/>
            <w:vAlign w:val="top"/>
          </w:tcPr>
          <w:p>
            <w:r/>
            <w:r>
              <w:rPr>
                <w:rFonts w:ascii="Arial" w:hAnsi="Arial"/>
                <w:b w:val="0"/>
                <w:sz w:val="16"/>
              </w:rPr>
              <w:t>Minor interim works</w:t>
            </w:r>
          </w:p>
        </w:tc>
        <w:tc>
          <w:tcPr>
            <w:tcW w:type="dxa" w:w="2045"/>
            <w:vAlign w:val="top"/>
          </w:tcPr>
          <w:p>
            <w:r/>
            <w:r>
              <w:rPr>
                <w:rFonts w:ascii="Arial" w:hAnsi="Arial"/>
                <w:b w:val="0"/>
                <w:sz w:val="16"/>
              </w:rPr>
              <w:t>Reduces some immediate transfer and access risks</w:t>
            </w:r>
          </w:p>
        </w:tc>
        <w:tc>
          <w:tcPr>
            <w:tcW w:type="dxa" w:w="2045"/>
            <w:vAlign w:val="top"/>
          </w:tcPr>
          <w:p>
            <w:r/>
            <w:r>
              <w:rPr>
                <w:rFonts w:ascii="Arial" w:hAnsi="Arial"/>
                <w:b w:val="0"/>
                <w:sz w:val="16"/>
              </w:rPr>
              <w:t>Does not solve lift dependency or bathroom layout</w:t>
            </w:r>
          </w:p>
        </w:tc>
        <w:tc>
          <w:tcPr>
            <w:tcW w:type="dxa" w:w="2045"/>
            <w:vAlign w:val="top"/>
          </w:tcPr>
          <w:p>
            <w:r/>
            <w:r>
              <w:rPr>
                <w:rFonts w:ascii="Arial" w:hAnsi="Arial"/>
                <w:b w:val="0"/>
                <w:sz w:val="16"/>
              </w:rPr>
              <w:t>Immediate</w:t>
            </w:r>
          </w:p>
        </w:tc>
        <w:tc>
          <w:tcPr>
            <w:tcW w:type="dxa" w:w="2045"/>
            <w:vAlign w:val="top"/>
          </w:tcPr>
          <w:p>
            <w:r/>
            <w:r>
              <w:rPr>
                <w:rFonts w:ascii="Arial" w:hAnsi="Arial"/>
                <w:b w:val="0"/>
                <w:sz w:val="16"/>
              </w:rPr>
              <w:t>Necessary but insufficient</w:t>
            </w:r>
          </w:p>
        </w:tc>
      </w:tr>
      <w:tr>
        <w:tc>
          <w:tcPr>
            <w:tcW w:type="dxa" w:w="2045"/>
            <w:vAlign w:val="top"/>
          </w:tcPr>
          <w:p>
            <w:r/>
            <w:r>
              <w:rPr>
                <w:rFonts w:ascii="Arial" w:hAnsi="Arial"/>
                <w:b w:val="0"/>
                <w:sz w:val="16"/>
              </w:rPr>
              <w:t>Full bathroom adaptation</w:t>
            </w:r>
          </w:p>
        </w:tc>
        <w:tc>
          <w:tcPr>
            <w:tcW w:type="dxa" w:w="2045"/>
            <w:vAlign w:val="top"/>
          </w:tcPr>
          <w:p>
            <w:r/>
            <w:r>
              <w:rPr>
                <w:rFonts w:ascii="Arial" w:hAnsi="Arial"/>
                <w:b w:val="0"/>
                <w:sz w:val="16"/>
              </w:rPr>
              <w:t>Could materially improve washing and toileting safety</w:t>
            </w:r>
          </w:p>
        </w:tc>
        <w:tc>
          <w:tcPr>
            <w:tcW w:type="dxa" w:w="2045"/>
            <w:vAlign w:val="top"/>
          </w:tcPr>
          <w:p>
            <w:r/>
            <w:r>
              <w:rPr>
                <w:rFonts w:ascii="Arial" w:hAnsi="Arial"/>
                <w:b w:val="0"/>
                <w:sz w:val="16"/>
              </w:rPr>
              <w:t>Feasibility depends on drainage and structure; disruptive works</w:t>
            </w:r>
          </w:p>
        </w:tc>
        <w:tc>
          <w:tcPr>
            <w:tcW w:type="dxa" w:w="2045"/>
            <w:vAlign w:val="top"/>
          </w:tcPr>
          <w:p>
            <w:r/>
            <w:r>
              <w:rPr>
                <w:rFonts w:ascii="Arial" w:hAnsi="Arial"/>
                <w:b w:val="0"/>
                <w:sz w:val="16"/>
              </w:rPr>
              <w:t>Urgent</w:t>
            </w:r>
          </w:p>
        </w:tc>
        <w:tc>
          <w:tcPr>
            <w:tcW w:type="dxa" w:w="2045"/>
            <w:vAlign w:val="top"/>
          </w:tcPr>
          <w:p>
            <w:r/>
            <w:r>
              <w:rPr>
                <w:rFonts w:ascii="Arial" w:hAnsi="Arial"/>
                <w:b w:val="0"/>
                <w:sz w:val="16"/>
              </w:rPr>
              <w:t>Assess within 20 working days</w:t>
            </w:r>
          </w:p>
        </w:tc>
      </w:tr>
      <w:tr>
        <w:tc>
          <w:tcPr>
            <w:tcW w:type="dxa" w:w="2045"/>
            <w:vAlign w:val="top"/>
          </w:tcPr>
          <w:p>
            <w:r/>
            <w:r>
              <w:rPr>
                <w:rFonts w:ascii="Arial" w:hAnsi="Arial"/>
                <w:b w:val="0"/>
                <w:sz w:val="16"/>
              </w:rPr>
              <w:t>Communal entrance changes</w:t>
            </w:r>
          </w:p>
        </w:tc>
        <w:tc>
          <w:tcPr>
            <w:tcW w:type="dxa" w:w="2045"/>
            <w:vAlign w:val="top"/>
          </w:tcPr>
          <w:p>
            <w:r/>
            <w:r>
              <w:rPr>
                <w:rFonts w:ascii="Arial" w:hAnsi="Arial"/>
                <w:b w:val="0"/>
                <w:sz w:val="16"/>
              </w:rPr>
              <w:t>May permit independent wheelchair access</w:t>
            </w:r>
          </w:p>
        </w:tc>
        <w:tc>
          <w:tcPr>
            <w:tcW w:type="dxa" w:w="2045"/>
            <w:vAlign w:val="top"/>
          </w:tcPr>
          <w:p>
            <w:r/>
            <w:r>
              <w:rPr>
                <w:rFonts w:ascii="Arial" w:hAnsi="Arial"/>
                <w:b w:val="0"/>
                <w:sz w:val="16"/>
              </w:rPr>
              <w:t>Common-parts consultation and fire safety input required</w:t>
            </w:r>
          </w:p>
        </w:tc>
        <w:tc>
          <w:tcPr>
            <w:tcW w:type="dxa" w:w="2045"/>
            <w:vAlign w:val="top"/>
          </w:tcPr>
          <w:p>
            <w:r/>
            <w:r>
              <w:rPr>
                <w:rFonts w:ascii="Arial" w:hAnsi="Arial"/>
                <w:b w:val="0"/>
                <w:sz w:val="16"/>
              </w:rPr>
              <w:t>Urgent</w:t>
            </w:r>
          </w:p>
        </w:tc>
        <w:tc>
          <w:tcPr>
            <w:tcW w:type="dxa" w:w="2045"/>
            <w:vAlign w:val="top"/>
          </w:tcPr>
          <w:p>
            <w:r/>
            <w:r>
              <w:rPr>
                <w:rFonts w:ascii="Arial" w:hAnsi="Arial"/>
                <w:b w:val="0"/>
                <w:sz w:val="16"/>
              </w:rPr>
              <w:t>Technically investigate</w:t>
            </w:r>
          </w:p>
        </w:tc>
      </w:tr>
      <w:tr>
        <w:tc>
          <w:tcPr>
            <w:tcW w:type="dxa" w:w="2045"/>
            <w:vAlign w:val="top"/>
          </w:tcPr>
          <w:p>
            <w:r/>
            <w:r>
              <w:rPr>
                <w:rFonts w:ascii="Arial" w:hAnsi="Arial"/>
                <w:b w:val="0"/>
                <w:sz w:val="16"/>
              </w:rPr>
              <w:t>Transfer to Category 2 accessible dwelling</w:t>
            </w:r>
          </w:p>
        </w:tc>
        <w:tc>
          <w:tcPr>
            <w:tcW w:type="dxa" w:w="2045"/>
            <w:vAlign w:val="top"/>
          </w:tcPr>
          <w:p>
            <w:r/>
            <w:r>
              <w:rPr>
                <w:rFonts w:ascii="Arial" w:hAnsi="Arial"/>
                <w:b w:val="0"/>
                <w:sz w:val="16"/>
              </w:rPr>
              <w:t>Addresses combined access, bathroom and circulation barriers</w:t>
            </w:r>
          </w:p>
        </w:tc>
        <w:tc>
          <w:tcPr>
            <w:tcW w:type="dxa" w:w="2045"/>
            <w:vAlign w:val="top"/>
          </w:tcPr>
          <w:p>
            <w:r/>
            <w:r>
              <w:rPr>
                <w:rFonts w:ascii="Arial" w:hAnsi="Arial"/>
                <w:b w:val="0"/>
                <w:sz w:val="16"/>
              </w:rPr>
              <w:t>Availability, location and allocation policy</w:t>
            </w:r>
          </w:p>
        </w:tc>
        <w:tc>
          <w:tcPr>
            <w:tcW w:type="dxa" w:w="2045"/>
            <w:vAlign w:val="top"/>
          </w:tcPr>
          <w:p>
            <w:r/>
            <w:r>
              <w:rPr>
                <w:rFonts w:ascii="Arial" w:hAnsi="Arial"/>
                <w:b w:val="0"/>
                <w:sz w:val="16"/>
              </w:rPr>
              <w:t>High priority</w:t>
            </w:r>
          </w:p>
        </w:tc>
        <w:tc>
          <w:tcPr>
            <w:tcW w:type="dxa" w:w="2045"/>
            <w:vAlign w:val="top"/>
          </w:tcPr>
          <w:p>
            <w:r/>
            <w:r>
              <w:rPr>
                <w:rFonts w:ascii="Arial" w:hAnsi="Arial"/>
                <w:b w:val="0"/>
                <w:sz w:val="16"/>
              </w:rPr>
              <w:t>Preferred durable option if suitable unit can be identified</w:t>
            </w:r>
          </w:p>
        </w:tc>
      </w:tr>
      <w:tr>
        <w:tc>
          <w:tcPr>
            <w:tcW w:type="dxa" w:w="2045"/>
            <w:vAlign w:val="top"/>
          </w:tcPr>
          <w:p>
            <w:r/>
            <w:r>
              <w:rPr>
                <w:rFonts w:ascii="Arial" w:hAnsi="Arial"/>
                <w:b w:val="0"/>
                <w:sz w:val="16"/>
              </w:rPr>
              <w:t>Temporary decant during works</w:t>
            </w:r>
          </w:p>
        </w:tc>
        <w:tc>
          <w:tcPr>
            <w:tcW w:type="dxa" w:w="2045"/>
            <w:vAlign w:val="top"/>
          </w:tcPr>
          <w:p>
            <w:r/>
            <w:r>
              <w:rPr>
                <w:rFonts w:ascii="Arial" w:hAnsi="Arial"/>
                <w:b w:val="0"/>
                <w:sz w:val="16"/>
              </w:rPr>
              <w:t>Maintains basic safety during construction</w:t>
            </w:r>
          </w:p>
        </w:tc>
        <w:tc>
          <w:tcPr>
            <w:tcW w:type="dxa" w:w="2045"/>
            <w:vAlign w:val="top"/>
          </w:tcPr>
          <w:p>
            <w:r/>
            <w:r>
              <w:rPr>
                <w:rFonts w:ascii="Arial" w:hAnsi="Arial"/>
                <w:b w:val="0"/>
                <w:sz w:val="16"/>
              </w:rPr>
              <w:t>Risk of unsuitable interim placement</w:t>
            </w:r>
          </w:p>
        </w:tc>
        <w:tc>
          <w:tcPr>
            <w:tcW w:type="dxa" w:w="2045"/>
            <w:vAlign w:val="top"/>
          </w:tcPr>
          <w:p>
            <w:r/>
            <w:r>
              <w:rPr>
                <w:rFonts w:ascii="Arial" w:hAnsi="Arial"/>
                <w:b w:val="0"/>
                <w:sz w:val="16"/>
              </w:rPr>
              <w:t>If works proceed</w:t>
            </w:r>
          </w:p>
        </w:tc>
        <w:tc>
          <w:tcPr>
            <w:tcW w:type="dxa" w:w="2045"/>
            <w:vAlign w:val="top"/>
          </w:tcPr>
          <w:p>
            <w:r/>
            <w:r>
              <w:rPr>
                <w:rFonts w:ascii="Arial" w:hAnsi="Arial"/>
                <w:b w:val="0"/>
                <w:sz w:val="16"/>
              </w:rPr>
              <w:t>Only to step-free accommodation</w:t>
            </w:r>
          </w:p>
        </w:tc>
      </w:tr>
    </w:tbl>
    <w:p>
      <w:pPr>
        <w:pStyle w:val="Heading1"/>
      </w:pPr>
      <w:r>
        <w:t>Service-user priorities</w:t>
      </w:r>
    </w:p>
    <w:p>
      <w:r>
        <w:t>Ms Adebayo-Ogunleye-Fitzpatrick prioritised: (1) safe bathing and toileting; (2) reliable step-free access; (3) remaining within approximately three miles of her sister, GP and community support; and (4) avoiding a location where public transport would increase fatigue. She stated that housing staff had twice shortened her surname in records, causing her medical evidence to be treated as belonging to a different person.</w:t>
      </w:r>
    </w:p>
    <w:p>
      <w:pPr>
        <w:pStyle w:val="Heading1"/>
      </w:pPr>
      <w:r>
        <w:t>Benefits and funding information</w:t>
      </w:r>
    </w:p>
    <w:p>
      <w:r>
        <w:t>The tenant reported receiving Universal Credit with a housing-cost element and Personal Independence Payment. These records may support identification and functional history but do not replace this clinical assessment. Any Disabled Facilities Grant or landlord-funded route should be considered separately, and disclosure should be limited to information necessary for the housing decision.</w:t>
      </w:r>
    </w:p>
    <w:p>
      <w:r>
        <w:br w:type="page"/>
      </w:r>
    </w:p>
    <w:p>
      <w:pPr>
        <w:pStyle w:val="Heading1"/>
      </w:pPr>
      <w:r>
        <w:t>Recommendations and action plan</w:t>
      </w:r>
    </w:p>
    <w:tbl>
      <w:tblPr>
        <w:tblStyle w:val="TableGrid"/>
        <w:tblW w:type="auto" w:w="0"/>
        <w:tblLook w:firstColumn="1" w:firstRow="1" w:lastColumn="0" w:lastRow="0" w:noHBand="0" w:noVBand="1" w:val="04A0"/>
      </w:tblPr>
      <w:tblGrid>
        <w:gridCol w:w="3408"/>
        <w:gridCol w:w="3408"/>
        <w:gridCol w:w="3408"/>
      </w:tblGrid>
      <w:tr>
        <w:tc>
          <w:tcPr>
            <w:tcW w:type="dxa" w:w="3408"/>
            <w:vAlign w:val="top"/>
          </w:tcPr>
          <w:p>
            <w:r/>
            <w:r>
              <w:rPr>
                <w:rFonts w:ascii="Arial" w:hAnsi="Arial"/>
                <w:b/>
                <w:color w:val="FFFFFF"/>
                <w:sz w:val="18"/>
              </w:rPr>
              <w:t>No.</w:t>
            </w:r>
          </w:p>
        </w:tc>
        <w:tc>
          <w:tcPr>
            <w:tcW w:type="dxa" w:w="3408"/>
            <w:vAlign w:val="top"/>
          </w:tcPr>
          <w:p>
            <w:r/>
            <w:r>
              <w:rPr>
                <w:rFonts w:ascii="Arial" w:hAnsi="Arial"/>
                <w:b/>
                <w:color w:val="FFFFFF"/>
                <w:sz w:val="18"/>
              </w:rPr>
              <w:t>Timescale</w:t>
            </w:r>
          </w:p>
        </w:tc>
        <w:tc>
          <w:tcPr>
            <w:tcW w:type="dxa" w:w="3408"/>
            <w:vAlign w:val="top"/>
          </w:tcPr>
          <w:p>
            <w:r/>
            <w:r>
              <w:rPr>
                <w:rFonts w:ascii="Arial" w:hAnsi="Arial"/>
                <w:b/>
                <w:color w:val="FFFFFF"/>
                <w:sz w:val="18"/>
              </w:rPr>
              <w:t>Recommended action</w:t>
            </w:r>
          </w:p>
        </w:tc>
      </w:tr>
      <w:tr>
        <w:tc>
          <w:tcPr>
            <w:tcW w:type="dxa" w:w="3408"/>
            <w:vAlign w:val="top"/>
          </w:tcPr>
          <w:p>
            <w:r/>
            <w:r>
              <w:rPr>
                <w:rFonts w:ascii="Arial" w:hAnsi="Arial"/>
                <w:b w:val="0"/>
                <w:sz w:val="17"/>
              </w:rPr>
              <w:t>1</w:t>
            </w:r>
          </w:p>
        </w:tc>
        <w:tc>
          <w:tcPr>
            <w:tcW w:type="dxa" w:w="3408"/>
            <w:vAlign w:val="top"/>
          </w:tcPr>
          <w:p>
            <w:r/>
            <w:r>
              <w:rPr>
                <w:rFonts w:ascii="Arial" w:hAnsi="Arial"/>
                <w:b w:val="0"/>
                <w:sz w:val="17"/>
              </w:rPr>
              <w:t>Within 48 hours</w:t>
            </w:r>
          </w:p>
        </w:tc>
        <w:tc>
          <w:tcPr>
            <w:tcW w:type="dxa" w:w="3408"/>
            <w:vAlign w:val="top"/>
          </w:tcPr>
          <w:p>
            <w:r/>
            <w:r>
              <w:rPr>
                <w:rFonts w:ascii="Arial" w:hAnsi="Arial"/>
                <w:b w:val="0"/>
                <w:sz w:val="17"/>
              </w:rPr>
              <w:t>Provide temporary bath board only if confirmed safe after transfer trial; supply second grab rail.</w:t>
            </w:r>
          </w:p>
        </w:tc>
      </w:tr>
      <w:tr>
        <w:tc>
          <w:tcPr>
            <w:tcW w:type="dxa" w:w="3408"/>
            <w:vAlign w:val="top"/>
          </w:tcPr>
          <w:p>
            <w:r/>
            <w:r>
              <w:rPr>
                <w:rFonts w:ascii="Arial" w:hAnsi="Arial"/>
                <w:b w:val="0"/>
                <w:sz w:val="17"/>
              </w:rPr>
              <w:t>2</w:t>
            </w:r>
          </w:p>
        </w:tc>
        <w:tc>
          <w:tcPr>
            <w:tcW w:type="dxa" w:w="3408"/>
            <w:vAlign w:val="top"/>
          </w:tcPr>
          <w:p>
            <w:r/>
            <w:r>
              <w:rPr>
                <w:rFonts w:ascii="Arial" w:hAnsi="Arial"/>
                <w:b w:val="0"/>
                <w:sz w:val="17"/>
              </w:rPr>
              <w:t>Within 5 working days</w:t>
            </w:r>
          </w:p>
        </w:tc>
        <w:tc>
          <w:tcPr>
            <w:tcW w:type="dxa" w:w="3408"/>
            <w:vAlign w:val="top"/>
          </w:tcPr>
          <w:p>
            <w:r/>
            <w:r>
              <w:rPr>
                <w:rFonts w:ascii="Arial" w:hAnsi="Arial"/>
                <w:b w:val="0"/>
                <w:sz w:val="17"/>
              </w:rPr>
              <w:t>Place a repair escalation marker against lift outages and provide an accessible emergency contact method.</w:t>
            </w:r>
          </w:p>
        </w:tc>
      </w:tr>
      <w:tr>
        <w:tc>
          <w:tcPr>
            <w:tcW w:type="dxa" w:w="3408"/>
            <w:vAlign w:val="top"/>
          </w:tcPr>
          <w:p>
            <w:r/>
            <w:r>
              <w:rPr>
                <w:rFonts w:ascii="Arial" w:hAnsi="Arial"/>
                <w:b w:val="0"/>
                <w:sz w:val="17"/>
              </w:rPr>
              <w:t>3</w:t>
            </w:r>
          </w:p>
        </w:tc>
        <w:tc>
          <w:tcPr>
            <w:tcW w:type="dxa" w:w="3408"/>
            <w:vAlign w:val="top"/>
          </w:tcPr>
          <w:p>
            <w:r/>
            <w:r>
              <w:rPr>
                <w:rFonts w:ascii="Arial" w:hAnsi="Arial"/>
                <w:b w:val="0"/>
                <w:sz w:val="17"/>
              </w:rPr>
              <w:t>Within 10 working days</w:t>
            </w:r>
          </w:p>
        </w:tc>
        <w:tc>
          <w:tcPr>
            <w:tcW w:type="dxa" w:w="3408"/>
            <w:vAlign w:val="top"/>
          </w:tcPr>
          <w:p>
            <w:r/>
            <w:r>
              <w:rPr>
                <w:rFonts w:ascii="Arial" w:hAnsi="Arial"/>
                <w:b w:val="0"/>
                <w:sz w:val="17"/>
              </w:rPr>
              <w:t>Commission structural and drainage feasibility review for a level-access shower and WC reconfiguration.</w:t>
            </w:r>
          </w:p>
        </w:tc>
      </w:tr>
      <w:tr>
        <w:tc>
          <w:tcPr>
            <w:tcW w:type="dxa" w:w="3408"/>
            <w:vAlign w:val="top"/>
          </w:tcPr>
          <w:p>
            <w:r/>
            <w:r>
              <w:rPr>
                <w:rFonts w:ascii="Arial" w:hAnsi="Arial"/>
                <w:b w:val="0"/>
                <w:sz w:val="17"/>
              </w:rPr>
              <w:t>4</w:t>
            </w:r>
          </w:p>
        </w:tc>
        <w:tc>
          <w:tcPr>
            <w:tcW w:type="dxa" w:w="3408"/>
            <w:vAlign w:val="top"/>
          </w:tcPr>
          <w:p>
            <w:r/>
            <w:r>
              <w:rPr>
                <w:rFonts w:ascii="Arial" w:hAnsi="Arial"/>
                <w:b w:val="0"/>
                <w:sz w:val="17"/>
              </w:rPr>
              <w:t>Within 10 working days</w:t>
            </w:r>
          </w:p>
        </w:tc>
        <w:tc>
          <w:tcPr>
            <w:tcW w:type="dxa" w:w="3408"/>
            <w:vAlign w:val="top"/>
          </w:tcPr>
          <w:p>
            <w:r/>
            <w:r>
              <w:rPr>
                <w:rFonts w:ascii="Arial" w:hAnsi="Arial"/>
                <w:b w:val="0"/>
                <w:sz w:val="17"/>
              </w:rPr>
              <w:t>Inspect the communal entrance with fire-safety and door-control specialists.</w:t>
            </w:r>
          </w:p>
        </w:tc>
      </w:tr>
      <w:tr>
        <w:tc>
          <w:tcPr>
            <w:tcW w:type="dxa" w:w="3408"/>
            <w:vAlign w:val="top"/>
          </w:tcPr>
          <w:p>
            <w:r/>
            <w:r>
              <w:rPr>
                <w:rFonts w:ascii="Arial" w:hAnsi="Arial"/>
                <w:b w:val="0"/>
                <w:sz w:val="17"/>
              </w:rPr>
              <w:t>5</w:t>
            </w:r>
          </w:p>
        </w:tc>
        <w:tc>
          <w:tcPr>
            <w:tcW w:type="dxa" w:w="3408"/>
            <w:vAlign w:val="top"/>
          </w:tcPr>
          <w:p>
            <w:r/>
            <w:r>
              <w:rPr>
                <w:rFonts w:ascii="Arial" w:hAnsi="Arial"/>
                <w:b w:val="0"/>
                <w:sz w:val="17"/>
              </w:rPr>
              <w:t>Within 15 working days</w:t>
            </w:r>
          </w:p>
        </w:tc>
        <w:tc>
          <w:tcPr>
            <w:tcW w:type="dxa" w:w="3408"/>
            <w:vAlign w:val="top"/>
          </w:tcPr>
          <w:p>
            <w:r/>
            <w:r>
              <w:rPr>
                <w:rFonts w:ascii="Arial" w:hAnsi="Arial"/>
                <w:b w:val="0"/>
                <w:sz w:val="17"/>
              </w:rPr>
              <w:t>Update all housing systems to the tenant’s complete legal surname and cross-reference prior abbreviated records.</w:t>
            </w:r>
          </w:p>
        </w:tc>
      </w:tr>
      <w:tr>
        <w:tc>
          <w:tcPr>
            <w:tcW w:type="dxa" w:w="3408"/>
            <w:vAlign w:val="top"/>
          </w:tcPr>
          <w:p>
            <w:r/>
            <w:r>
              <w:rPr>
                <w:rFonts w:ascii="Arial" w:hAnsi="Arial"/>
                <w:b w:val="0"/>
                <w:sz w:val="17"/>
              </w:rPr>
              <w:t>6</w:t>
            </w:r>
          </w:p>
        </w:tc>
        <w:tc>
          <w:tcPr>
            <w:tcW w:type="dxa" w:w="3408"/>
            <w:vAlign w:val="top"/>
          </w:tcPr>
          <w:p>
            <w:r/>
            <w:r>
              <w:rPr>
                <w:rFonts w:ascii="Arial" w:hAnsi="Arial"/>
                <w:b w:val="0"/>
                <w:sz w:val="17"/>
              </w:rPr>
              <w:t>At next allocation panel</w:t>
            </w:r>
          </w:p>
        </w:tc>
        <w:tc>
          <w:tcPr>
            <w:tcW w:type="dxa" w:w="3408"/>
            <w:vAlign w:val="top"/>
          </w:tcPr>
          <w:p>
            <w:r/>
            <w:r>
              <w:rPr>
                <w:rFonts w:ascii="Arial" w:hAnsi="Arial"/>
                <w:b w:val="0"/>
                <w:sz w:val="17"/>
              </w:rPr>
              <w:t>Consider medical priority for a step-free, wheelchair-usable property within the identified support area.</w:t>
            </w:r>
          </w:p>
        </w:tc>
      </w:tr>
      <w:tr>
        <w:tc>
          <w:tcPr>
            <w:tcW w:type="dxa" w:w="3408"/>
            <w:vAlign w:val="top"/>
          </w:tcPr>
          <w:p>
            <w:r/>
            <w:r>
              <w:rPr>
                <w:rFonts w:ascii="Arial" w:hAnsi="Arial"/>
                <w:b w:val="0"/>
                <w:sz w:val="17"/>
              </w:rPr>
              <w:t>7</w:t>
            </w:r>
          </w:p>
        </w:tc>
        <w:tc>
          <w:tcPr>
            <w:tcW w:type="dxa" w:w="3408"/>
            <w:vAlign w:val="top"/>
          </w:tcPr>
          <w:p>
            <w:r/>
            <w:r>
              <w:rPr>
                <w:rFonts w:ascii="Arial" w:hAnsi="Arial"/>
                <w:b w:val="0"/>
                <w:sz w:val="17"/>
              </w:rPr>
              <w:t>Ongoing</w:t>
            </w:r>
          </w:p>
        </w:tc>
        <w:tc>
          <w:tcPr>
            <w:tcW w:type="dxa" w:w="3408"/>
            <w:vAlign w:val="top"/>
          </w:tcPr>
          <w:p>
            <w:r/>
            <w:r>
              <w:rPr>
                <w:rFonts w:ascii="Arial" w:hAnsi="Arial"/>
                <w:b w:val="0"/>
                <w:sz w:val="17"/>
              </w:rPr>
              <w:t>Communicate in writing and allow additional response time during periods of fatigue or relapse.</w:t>
            </w:r>
          </w:p>
        </w:tc>
      </w:tr>
    </w:tbl>
    <w:p>
      <w:pPr>
        <w:pStyle w:val="Heading1"/>
      </w:pPr>
      <w:r>
        <w:t>Professional opinion</w:t>
      </w:r>
    </w:p>
    <w:p>
      <w:r>
        <w:t>The current property presents a combination of significant barriers. Interim equipment may reduce immediate risk, but it will not resolve reliance on a single communal lift or the restricted bathroom footprint. A parallel approach is recommended: promptly assess feasible works while actively considering transfer to a suitably located accessible dwelling.</w:t>
      </w:r>
    </w:p>
    <w:p>
      <w:r>
        <w:t>Electronically signed: Helen Ward, Senior Occupational Therapist (fictional)</w:t>
      </w:r>
    </w:p>
    <w:p>
      <w:r>
        <w:t>Review date: 24 May 2025, or earlier following a fall, relapse or housing offer.</w:t>
      </w:r>
    </w:p>
    <w:sectPr w:rsidR="00FC693F" w:rsidRPr="0006063C" w:rsidSect="00034616">
      <w:headerReference w:type="default" r:id="rId9"/>
      <w:footerReference w:type="default" r:id="rId10"/>
      <w:pgSz w:w="12240" w:h="15840"/>
      <w:pgMar w:top="893" w:right="1008" w:bottom="893"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9C0006"/>
        <w:sz w:val="14"/>
      </w:rPr>
      <w:t>SYNTHETIC TEST DOCUMENT — FICTIONAL — NOT FOR FILING, RELIANCE OR EXTERNAL USE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b/>
        <w:sz w:val="16"/>
      </w:rPr>
      <w:t>NORTHBOROUGH COMMUNITY THERAPY SERVICE | TD-RD-013</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0F6B6D"/>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TD-RD-013 Occupational Therapy Functional Assessment</dc:title>
  <dc:subject/>
  <dc:creator>Perplexity Computer</dc:creator>
  <cp:keywords/>
  <dc:description>generated by python-docx</dc:description>
  <cp:lastModifiedBy/>
  <cp:revision>1</cp:revision>
  <dcterms:created xsi:type="dcterms:W3CDTF">2013-12-23T23:15:00Z</dcterms:created>
  <dcterms:modified xsi:type="dcterms:W3CDTF">2013-12-23T23:15:00Z</dcterms:modified>
  <cp:category/>
</cp:coreProperties>
</file>