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jc w:val="center"/>
      </w:pPr>
      <w:r>
        <w:rPr>
          <w:b/>
          <w:bCs/>
          <w:color w:val="0C4E54"/>
          <w:sz w:val="21"/>
          <w:szCs w:val="21"/>
        </w:rPr>
        <w:t xml:space="preserve">IN THE FEDERAL CIRCUIT AND FAMILY COURT OF AUSTRALIA (DIVISION 2)</w:t>
      </w:r>
    </w:p>
    <w:p>
      <w:pPr>
        <w:spacing w:after="20"/>
        <w:jc w:val="center"/>
      </w:pPr>
      <w:r>
        <w:rPr>
          <w:color w:val="7A7974"/>
          <w:sz w:val="16"/>
          <w:szCs w:val="16"/>
        </w:rPr>
        <w:t xml:space="preserve">(Simulated proceeding — synthetic demonstration matter)</w:t>
      </w:r>
    </w:p>
    <w:p>
      <w:pPr>
        <w:spacing w:after="120"/>
        <w:jc w:val="center"/>
      </w:pPr>
      <w:r>
        <w:rPr>
          <w:color w:val="7A7974"/>
          <w:sz w:val="15"/>
          <w:szCs w:val="15"/>
        </w:rPr>
        <w:t xml:space="preserve">Sydney Registry (simulated)  |  File No: SYC 2025/004187 (illustrative)</w:t>
      </w:r>
    </w:p>
    <w:tbl>
      <w:tblPr>
        <w:tblW w:type="dxa" w:w="9026"/>
        <w:tblBorders>
          <w:top w:val="none"/>
          <w:left w:val="none"/>
          <w:bottom w:val="none"/>
          <w:right w:val="none"/>
          <w:insideH w:val="none"/>
          <w:insideV w:val="none"/>
        </w:tblBorders>
      </w:tblPr>
      <w:tblGrid>
        <w:gridCol w:w="1805"/>
        <w:gridCol w:w="7220"/>
      </w:tblGrid>
      <w:tr>
        <w:tc>
          <w:tcPr>
            <w:tcW w:type="dxa" w:w="1805"/>
            <w:tcBorders>
              <w:top w:val="none"/>
              <w:left w:val="none"/>
              <w:bottom w:val="none"/>
              <w:right w:val="none"/>
            </w:tcBorders>
            <w:tcMar>
              <w:top w:type="dxa" w:w="20"/>
              <w:left w:type="dxa" w:w="0"/>
              <w:bottom w:type="dxa" w:w="20"/>
              <w:right w:type="dxa" w:w="80"/>
            </w:tcMar>
          </w:tcPr>
          <w:p>
            <w:r>
              <w:rPr>
                <w:b/>
                <w:bCs/>
                <w:color w:val="7A7974"/>
                <w:sz w:val="17"/>
                <w:szCs w:val="17"/>
              </w:rPr>
              <w:t xml:space="preserve">BETWEEN:</w:t>
            </w:r>
          </w:p>
        </w:tc>
        <w:tc>
          <w:tcPr>
            <w:tcW w:type="dxa" w:w="7220"/>
            <w:tcBorders>
              <w:top w:val="none"/>
              <w:left w:val="none"/>
              <w:bottom w:val="none"/>
              <w:right w:val="none"/>
            </w:tcBorders>
            <w:tcMar>
              <w:top w:type="dxa" w:w="20"/>
              <w:left w:type="dxa" w:w="0"/>
              <w:bottom w:type="dxa" w:w="20"/>
              <w:right w:type="dxa" w:w="0"/>
            </w:tcMar>
          </w:tcPr>
          <w:p>
            <w:pPr>
              <w:jc w:val="left"/>
            </w:pPr>
            <w:r>
              <w:rPr>
                <w:b/>
                <w:bCs/>
                <w:i w:val="false"/>
                <w:iCs w:val="false"/>
                <w:color w:val="28251D"/>
                <w:sz w:val="21"/>
                <w:szCs w:val="21"/>
              </w:rPr>
              <w:t xml:space="preserve">EMILY MARGARET HART</w:t>
            </w:r>
          </w:p>
        </w:tc>
      </w:tr>
      <w:tr>
        <w:tc>
          <w:tcPr>
            <w:tcW w:type="dxa" w:w="1805"/>
            <w:tcBorders>
              <w:top w:val="none"/>
              <w:left w:val="none"/>
              <w:bottom w:val="none"/>
              <w:right w:val="none"/>
            </w:tcBorders>
            <w:tcMar>
              <w:top w:type="dxa" w:w="20"/>
              <w:left w:type="dxa" w:w="0"/>
              <w:bottom w:type="dxa" w:w="20"/>
              <w:right w:type="dxa" w:w="80"/>
            </w:tcMar>
          </w:tcPr>
          <w:p>
            <w:r>
              <w:rPr>
                <w:b/>
                <w:bCs/>
                <w:color w:val="7A7974"/>
                <w:sz w:val="17"/>
                <w:szCs w:val="17"/>
              </w:rPr>
              <w:t xml:space="preserve"/>
            </w:r>
          </w:p>
        </w:tc>
        <w:tc>
          <w:tcPr>
            <w:tcW w:type="dxa" w:w="7220"/>
            <w:tcBorders>
              <w:top w:val="none"/>
              <w:left w:val="none"/>
              <w:bottom w:val="none"/>
              <w:right w:val="none"/>
            </w:tcBorders>
            <w:tcMar>
              <w:top w:type="dxa" w:w="20"/>
              <w:left w:type="dxa" w:w="0"/>
              <w:bottom w:type="dxa" w:w="20"/>
              <w:right w:type="dxa" w:w="0"/>
            </w:tcMar>
          </w:tcPr>
          <w:p>
            <w:pPr>
              <w:jc w:val="right"/>
            </w:pPr>
            <w:r>
              <w:rPr>
                <w:b w:val="false"/>
                <w:bCs w:val="false"/>
                <w:i/>
                <w:iCs/>
                <w:color w:val="7A7974"/>
                <w:sz w:val="17"/>
                <w:szCs w:val="17"/>
              </w:rPr>
              <w:t xml:space="preserve">Applicant</w:t>
            </w:r>
          </w:p>
        </w:tc>
      </w:tr>
      <w:tr>
        <w:tc>
          <w:tcPr>
            <w:tcW w:type="dxa" w:w="1805"/>
            <w:tcBorders>
              <w:top w:val="none"/>
              <w:left w:val="none"/>
              <w:bottom w:val="none"/>
              <w:right w:val="none"/>
            </w:tcBorders>
            <w:tcMar>
              <w:top w:type="dxa" w:w="20"/>
              <w:left w:type="dxa" w:w="0"/>
              <w:bottom w:type="dxa" w:w="20"/>
              <w:right w:type="dxa" w:w="80"/>
            </w:tcMar>
          </w:tcPr>
          <w:p>
            <w:r>
              <w:rPr>
                <w:b/>
                <w:bCs/>
                <w:color w:val="7A7974"/>
                <w:sz w:val="17"/>
                <w:szCs w:val="17"/>
              </w:rPr>
              <w:t xml:space="preserve">AND:</w:t>
            </w:r>
          </w:p>
        </w:tc>
        <w:tc>
          <w:tcPr>
            <w:tcW w:type="dxa" w:w="7220"/>
            <w:tcBorders>
              <w:top w:val="none"/>
              <w:left w:val="none"/>
              <w:bottom w:val="none"/>
              <w:right w:val="none"/>
            </w:tcBorders>
            <w:tcMar>
              <w:top w:type="dxa" w:w="20"/>
              <w:left w:type="dxa" w:w="0"/>
              <w:bottom w:type="dxa" w:w="20"/>
              <w:right w:type="dxa" w:w="0"/>
            </w:tcMar>
          </w:tcPr>
          <w:p>
            <w:pPr>
              <w:jc w:val="left"/>
            </w:pPr>
            <w:r>
              <w:rPr>
                <w:b/>
                <w:bCs/>
                <w:i w:val="false"/>
                <w:iCs w:val="false"/>
                <w:color w:val="28251D"/>
                <w:sz w:val="21"/>
                <w:szCs w:val="21"/>
              </w:rPr>
              <w:t xml:space="preserve">DANIEL JAMES HART</w:t>
            </w:r>
          </w:p>
        </w:tc>
      </w:tr>
      <w:tr>
        <w:tc>
          <w:tcPr>
            <w:tcW w:type="dxa" w:w="1805"/>
            <w:tcBorders>
              <w:top w:val="none"/>
              <w:left w:val="none"/>
              <w:bottom w:val="none"/>
              <w:right w:val="none"/>
            </w:tcBorders>
            <w:tcMar>
              <w:top w:type="dxa" w:w="20"/>
              <w:left w:type="dxa" w:w="0"/>
              <w:bottom w:type="dxa" w:w="20"/>
              <w:right w:type="dxa" w:w="80"/>
            </w:tcMar>
          </w:tcPr>
          <w:p>
            <w:r>
              <w:rPr>
                <w:b/>
                <w:bCs/>
                <w:color w:val="7A7974"/>
                <w:sz w:val="17"/>
                <w:szCs w:val="17"/>
              </w:rPr>
              <w:t xml:space="preserve"/>
            </w:r>
          </w:p>
        </w:tc>
        <w:tc>
          <w:tcPr>
            <w:tcW w:type="dxa" w:w="7220"/>
            <w:tcBorders>
              <w:top w:val="none"/>
              <w:left w:val="none"/>
              <w:bottom w:val="none"/>
              <w:right w:val="none"/>
            </w:tcBorders>
            <w:tcMar>
              <w:top w:type="dxa" w:w="20"/>
              <w:left w:type="dxa" w:w="0"/>
              <w:bottom w:type="dxa" w:w="20"/>
              <w:right w:type="dxa" w:w="0"/>
            </w:tcMar>
          </w:tcPr>
          <w:p>
            <w:pPr>
              <w:jc w:val="right"/>
            </w:pPr>
            <w:r>
              <w:rPr>
                <w:b w:val="false"/>
                <w:bCs w:val="false"/>
                <w:i/>
                <w:iCs/>
                <w:color w:val="7A7974"/>
                <w:sz w:val="17"/>
                <w:szCs w:val="17"/>
              </w:rPr>
              <w:t xml:space="preserve">Respondent</w:t>
            </w:r>
          </w:p>
        </w:tc>
      </w:tr>
    </w:tbl>
    <w:p>
      <w:pPr>
        <w:pBdr>
          <w:bottom w:val="single" w:color="C9C6BF" w:sz="4" w:space="6"/>
        </w:pBdr>
        <w:spacing w:after="160"/>
      </w:pPr>
    </w:p>
    <w:p>
      <w:pPr>
        <w:spacing w:after="40"/>
        <w:jc w:val="center"/>
      </w:pPr>
      <w:r>
        <w:rPr>
          <w:b/>
          <w:bCs/>
          <w:color w:val="0C4E54"/>
          <w:sz w:val="30"/>
          <w:szCs w:val="30"/>
        </w:rPr>
        <w:t xml:space="preserve">TRIAL AFFIDAVIT OF EMILY MARGARET HART</w:t>
      </w:r>
    </w:p>
    <w:p>
      <w:pPr>
        <w:spacing w:after="160"/>
        <w:jc w:val="center"/>
      </w:pPr>
      <w:r>
        <w:rPr>
          <w:color w:val="7A7974"/>
          <w:sz w:val="18"/>
          <w:szCs w:val="18"/>
        </w:rPr>
        <w:t xml:space="preserve">Applicant — affirmed 29 May 2026 (simulated) — for the final hearing listed 15 June 2026</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7"/>
        <w:gridCol w:w="6318"/>
      </w:tblGrid>
      <w:tr>
        <w:tc>
          <w:tcPr>
            <w:tcW w:type="dxa" w:w="2707"/>
            <w:tcBorders>
              <w:top w:val="single" w:color="C9C6BF" w:sz="4"/>
              <w:left w:val="single" w:color="C9C6BF" w:sz="4"/>
              <w:bottom w:val="single" w:color="C9C6BF" w:sz="4"/>
              <w:right w:val="single" w:color="C9C6BF" w:sz="4"/>
            </w:tcBorders>
            <w:shd w:fill="DCEAEB" w:val="clear"/>
            <w:tcMar>
              <w:top w:type="dxa" w:w="60"/>
              <w:left w:type="dxa" w:w="100"/>
              <w:bottom w:type="dxa" w:w="60"/>
              <w:right w:type="dxa" w:w="100"/>
            </w:tcMar>
          </w:tcPr>
          <w:p>
            <w:r>
              <w:rPr>
                <w:b/>
                <w:bCs/>
                <w:color w:val="0C4E54"/>
                <w:sz w:val="18"/>
                <w:szCs w:val="18"/>
              </w:rPr>
              <w:t xml:space="preserve">Deponent</w:t>
            </w:r>
          </w:p>
        </w:tc>
        <w:tc>
          <w:tcPr>
            <w:tcW w:type="dxa" w:w="6318"/>
            <w:tcBorders>
              <w:top w:val="single" w:color="C9C6BF" w:sz="4"/>
              <w:left w:val="single" w:color="C9C6BF" w:sz="4"/>
              <w:bottom w:val="single" w:color="C9C6BF" w:sz="4"/>
              <w:right w:val="single" w:color="C9C6BF" w:sz="4"/>
            </w:tcBorders>
            <w:tcMar>
              <w:top w:type="dxa" w:w="60"/>
              <w:left w:type="dxa" w:w="100"/>
              <w:bottom w:type="dxa" w:w="60"/>
              <w:right w:type="dxa" w:w="100"/>
            </w:tcMar>
          </w:tcPr>
          <w:p>
            <w:r>
              <w:rPr>
                <w:sz w:val="18"/>
                <w:szCs w:val="18"/>
              </w:rPr>
              <w:t xml:space="preserve">Emily Margaret Hart</w:t>
            </w:r>
          </w:p>
        </w:tc>
      </w:tr>
      <w:tr>
        <w:tc>
          <w:tcPr>
            <w:tcW w:type="dxa" w:w="2707"/>
            <w:tcBorders>
              <w:top w:val="single" w:color="C9C6BF" w:sz="4"/>
              <w:left w:val="single" w:color="C9C6BF" w:sz="4"/>
              <w:bottom w:val="single" w:color="C9C6BF" w:sz="4"/>
              <w:right w:val="single" w:color="C9C6BF" w:sz="4"/>
            </w:tcBorders>
            <w:shd w:fill="DCEAEB" w:val="clear"/>
            <w:tcMar>
              <w:top w:type="dxa" w:w="60"/>
              <w:left w:type="dxa" w:w="100"/>
              <w:bottom w:type="dxa" w:w="60"/>
              <w:right w:type="dxa" w:w="100"/>
            </w:tcMar>
          </w:tcPr>
          <w:p>
            <w:r>
              <w:rPr>
                <w:b/>
                <w:bCs/>
                <w:color w:val="0C4E54"/>
                <w:sz w:val="18"/>
                <w:szCs w:val="18"/>
              </w:rPr>
              <w:t xml:space="preserve">Occupation</w:t>
            </w:r>
          </w:p>
        </w:tc>
        <w:tc>
          <w:tcPr>
            <w:tcW w:type="dxa" w:w="6318"/>
            <w:tcBorders>
              <w:top w:val="single" w:color="C9C6BF" w:sz="4"/>
              <w:left w:val="single" w:color="C9C6BF" w:sz="4"/>
              <w:bottom w:val="single" w:color="C9C6BF" w:sz="4"/>
              <w:right w:val="single" w:color="C9C6BF" w:sz="4"/>
            </w:tcBorders>
            <w:tcMar>
              <w:top w:type="dxa" w:w="60"/>
              <w:left w:type="dxa" w:w="100"/>
              <w:bottom w:type="dxa" w:w="60"/>
              <w:right w:type="dxa" w:w="100"/>
            </w:tcMar>
          </w:tcPr>
          <w:p>
            <w:r>
              <w:rPr>
                <w:sz w:val="18"/>
                <w:szCs w:val="18"/>
              </w:rPr>
              <w:t xml:space="preserve">Senior occupational therapist</w:t>
            </w:r>
          </w:p>
        </w:tc>
      </w:tr>
      <w:tr>
        <w:tc>
          <w:tcPr>
            <w:tcW w:type="dxa" w:w="2707"/>
            <w:tcBorders>
              <w:top w:val="single" w:color="C9C6BF" w:sz="4"/>
              <w:left w:val="single" w:color="C9C6BF" w:sz="4"/>
              <w:bottom w:val="single" w:color="C9C6BF" w:sz="4"/>
              <w:right w:val="single" w:color="C9C6BF" w:sz="4"/>
            </w:tcBorders>
            <w:shd w:fill="DCEAEB" w:val="clear"/>
            <w:tcMar>
              <w:top w:type="dxa" w:w="60"/>
              <w:left w:type="dxa" w:w="100"/>
              <w:bottom w:type="dxa" w:w="60"/>
              <w:right w:type="dxa" w:w="100"/>
            </w:tcMar>
          </w:tcPr>
          <w:p>
            <w:r>
              <w:rPr>
                <w:b/>
                <w:bCs/>
                <w:color w:val="0C4E54"/>
                <w:sz w:val="18"/>
                <w:szCs w:val="18"/>
              </w:rPr>
              <w:t xml:space="preserve">Address for service</w:t>
            </w:r>
          </w:p>
        </w:tc>
        <w:tc>
          <w:tcPr>
            <w:tcW w:type="dxa" w:w="6318"/>
            <w:tcBorders>
              <w:top w:val="single" w:color="C9C6BF" w:sz="4"/>
              <w:left w:val="single" w:color="C9C6BF" w:sz="4"/>
              <w:bottom w:val="single" w:color="C9C6BF" w:sz="4"/>
              <w:right w:val="single" w:color="C9C6BF" w:sz="4"/>
            </w:tcBorders>
            <w:tcMar>
              <w:top w:type="dxa" w:w="60"/>
              <w:left w:type="dxa" w:w="100"/>
              <w:bottom w:type="dxa" w:w="60"/>
              <w:right w:type="dxa" w:w="100"/>
            </w:tcMar>
          </w:tcPr>
          <w:p>
            <w:r>
              <w:rPr>
                <w:sz w:val="18"/>
                <w:szCs w:val="18"/>
              </w:rPr>
              <w:t xml:space="preserve">c/- Harbour Family Lawyers (address withheld — synthetic)</w:t>
            </w:r>
          </w:p>
        </w:tc>
      </w:tr>
      <w:tr>
        <w:tc>
          <w:tcPr>
            <w:tcW w:type="dxa" w:w="2707"/>
            <w:tcBorders>
              <w:top w:val="single" w:color="C9C6BF" w:sz="4"/>
              <w:left w:val="single" w:color="C9C6BF" w:sz="4"/>
              <w:bottom w:val="single" w:color="C9C6BF" w:sz="4"/>
              <w:right w:val="single" w:color="C9C6BF" w:sz="4"/>
            </w:tcBorders>
            <w:shd w:fill="DCEAEB" w:val="clear"/>
            <w:tcMar>
              <w:top w:type="dxa" w:w="60"/>
              <w:left w:type="dxa" w:w="100"/>
              <w:bottom w:type="dxa" w:w="60"/>
              <w:right w:type="dxa" w:w="100"/>
            </w:tcMar>
          </w:tcPr>
          <w:p>
            <w:r>
              <w:rPr>
                <w:b/>
                <w:bCs/>
                <w:color w:val="0C4E54"/>
                <w:sz w:val="18"/>
                <w:szCs w:val="18"/>
              </w:rPr>
              <w:t xml:space="preserve">Date affirmed</w:t>
            </w:r>
          </w:p>
        </w:tc>
        <w:tc>
          <w:tcPr>
            <w:tcW w:type="dxa" w:w="6318"/>
            <w:tcBorders>
              <w:top w:val="single" w:color="C9C6BF" w:sz="4"/>
              <w:left w:val="single" w:color="C9C6BF" w:sz="4"/>
              <w:bottom w:val="single" w:color="C9C6BF" w:sz="4"/>
              <w:right w:val="single" w:color="C9C6BF" w:sz="4"/>
            </w:tcBorders>
            <w:tcMar>
              <w:top w:type="dxa" w:w="60"/>
              <w:left w:type="dxa" w:w="100"/>
              <w:bottom w:type="dxa" w:w="60"/>
              <w:right w:type="dxa" w:w="100"/>
            </w:tcMar>
          </w:tcPr>
          <w:p>
            <w:r>
              <w:rPr>
                <w:sz w:val="18"/>
                <w:szCs w:val="18"/>
              </w:rPr>
              <w:t xml:space="preserve">29 May 2026</w:t>
            </w:r>
          </w:p>
        </w:tc>
      </w:tr>
      <w:tr>
        <w:tc>
          <w:tcPr>
            <w:tcW w:type="dxa" w:w="2707"/>
            <w:tcBorders>
              <w:top w:val="single" w:color="C9C6BF" w:sz="4"/>
              <w:left w:val="single" w:color="C9C6BF" w:sz="4"/>
              <w:bottom w:val="single" w:color="C9C6BF" w:sz="4"/>
              <w:right w:val="single" w:color="C9C6BF" w:sz="4"/>
            </w:tcBorders>
            <w:shd w:fill="DCEAEB" w:val="clear"/>
            <w:tcMar>
              <w:top w:type="dxa" w:w="60"/>
              <w:left w:type="dxa" w:w="100"/>
              <w:bottom w:type="dxa" w:w="60"/>
              <w:right w:type="dxa" w:w="100"/>
            </w:tcMar>
          </w:tcPr>
          <w:p>
            <w:r>
              <w:rPr>
                <w:b/>
                <w:bCs/>
                <w:color w:val="0C4E54"/>
                <w:sz w:val="18"/>
                <w:szCs w:val="18"/>
              </w:rPr>
              <w:t xml:space="preserve">Filed by</w:t>
            </w:r>
          </w:p>
        </w:tc>
        <w:tc>
          <w:tcPr>
            <w:tcW w:type="dxa" w:w="6318"/>
            <w:tcBorders>
              <w:top w:val="single" w:color="C9C6BF" w:sz="4"/>
              <w:left w:val="single" w:color="C9C6BF" w:sz="4"/>
              <w:bottom w:val="single" w:color="C9C6BF" w:sz="4"/>
              <w:right w:val="single" w:color="C9C6BF" w:sz="4"/>
            </w:tcBorders>
            <w:tcMar>
              <w:top w:type="dxa" w:w="60"/>
              <w:left w:type="dxa" w:w="100"/>
              <w:bottom w:type="dxa" w:w="60"/>
              <w:right w:type="dxa" w:w="100"/>
            </w:tcMar>
          </w:tcPr>
          <w:p>
            <w:r>
              <w:rPr>
                <w:sz w:val="18"/>
                <w:szCs w:val="18"/>
              </w:rPr>
              <w:t xml:space="preserve">Harbour Family Lawyers (synthetic)</w:t>
            </w:r>
          </w:p>
        </w:tc>
      </w:tr>
      <w:tr>
        <w:tc>
          <w:tcPr>
            <w:tcW w:type="dxa" w:w="2707"/>
            <w:tcBorders>
              <w:top w:val="single" w:color="C9C6BF" w:sz="4"/>
              <w:left w:val="single" w:color="C9C6BF" w:sz="4"/>
              <w:bottom w:val="single" w:color="C9C6BF" w:sz="4"/>
              <w:right w:val="single" w:color="C9C6BF" w:sz="4"/>
            </w:tcBorders>
            <w:shd w:fill="DCEAEB" w:val="clear"/>
            <w:tcMar>
              <w:top w:type="dxa" w:w="60"/>
              <w:left w:type="dxa" w:w="100"/>
              <w:bottom w:type="dxa" w:w="60"/>
              <w:right w:type="dxa" w:w="100"/>
            </w:tcMar>
          </w:tcPr>
          <w:p>
            <w:r>
              <w:rPr>
                <w:b/>
                <w:bCs/>
                <w:color w:val="0C4E54"/>
                <w:sz w:val="18"/>
                <w:szCs w:val="18"/>
              </w:rPr>
              <w:t xml:space="preserve">Annexures</w:t>
            </w:r>
          </w:p>
        </w:tc>
        <w:tc>
          <w:tcPr>
            <w:tcW w:type="dxa" w:w="6318"/>
            <w:tcBorders>
              <w:top w:val="single" w:color="C9C6BF" w:sz="4"/>
              <w:left w:val="single" w:color="C9C6BF" w:sz="4"/>
              <w:bottom w:val="single" w:color="C9C6BF" w:sz="4"/>
              <w:right w:val="single" w:color="C9C6BF" w:sz="4"/>
            </w:tcBorders>
            <w:tcMar>
              <w:top w:type="dxa" w:w="60"/>
              <w:left w:type="dxa" w:w="100"/>
              <w:bottom w:type="dxa" w:w="60"/>
              <w:right w:type="dxa" w:w="100"/>
            </w:tcMar>
          </w:tcPr>
          <w:p>
            <w:r>
              <w:rPr>
                <w:sz w:val="18"/>
                <w:szCs w:val="18"/>
              </w:rPr>
              <w:t xml:space="preserve">EH-1 (parenting communications — AFF.002); EH-2 (financial records — AFF.003)</w:t>
            </w:r>
          </w:p>
        </w:tc>
      </w:tr>
    </w:tbl>
    <w:p>
      <w:pPr>
        <w:spacing w:after="140"/>
        <w:jc w:val="both"/>
      </w:pPr>
      <w:r>
        <w:rPr>
          <w:color w:val="28251D"/>
          <w:sz w:val="20"/>
          <w:szCs w:val="20"/>
        </w:rPr>
        <w:t xml:space="preserve">I, Emily Margaret Hart, occupational therapist, affirm and say as follows. The facts in this affidavit are within my own knowledge except where I state they are based on information and belief, in which case I believe them to be true.</w:t>
      </w:r>
    </w:p>
    <w:p>
      <w:pPr>
        <w:pStyle w:val="Heading2"/>
      </w:pPr>
      <w:r>
        <w:t xml:space="preserve">A. Background and these proceedings</w:t>
      </w:r>
    </w:p>
    <w:p>
      <w:pPr>
        <w:pStyle w:val="ListParagraph"/>
        <w:numPr>
          <w:ilvl w:val="0"/>
          <w:numId w:val="2"/>
        </w:numPr>
        <w:spacing w:after="120"/>
        <w:jc w:val="both"/>
      </w:pPr>
      <w:r>
        <w:rPr>
          <w:sz w:val="20"/>
          <w:szCs w:val="20"/>
        </w:rPr>
        <w:t xml:space="preserve">I am the Applicant. I make this affidavit as my evidence in chief for the final hearing listed to commence on 15 June 2026. This affidavit updates and, where inconsistent, replaces my affidavit of 12 August 2025 (CRT.003).</w:t>
      </w:r>
    </w:p>
    <w:p>
      <w:pPr>
        <w:pStyle w:val="ListParagraph"/>
        <w:numPr>
          <w:ilvl w:val="0"/>
          <w:numId w:val="2"/>
        </w:numPr>
        <w:spacing w:after="120"/>
        <w:jc w:val="both"/>
      </w:pPr>
      <w:r>
        <w:rPr>
          <w:sz w:val="20"/>
          <w:szCs w:val="20"/>
        </w:rPr>
        <w:t xml:space="preserve">The Respondent, Daniel James Hart, and I married in 2010 and separated under one roof on 17 April 2024. The Respondent moved to a rented apartment in Lane Cove on or about 10 June 2024. We have two children: Sophie, born 2015 (now in Year 5), and Max, born 2018 (now in Year 2). Max has asthma and has a management plan at school.</w:t>
      </w:r>
    </w:p>
    <w:p>
      <w:pPr>
        <w:pStyle w:val="ListParagraph"/>
        <w:numPr>
          <w:ilvl w:val="0"/>
          <w:numId w:val="2"/>
        </w:numPr>
        <w:spacing w:after="120"/>
        <w:jc w:val="both"/>
      </w:pPr>
      <w:r>
        <w:rPr>
          <w:sz w:val="20"/>
          <w:szCs w:val="20"/>
        </w:rPr>
        <w:t xml:space="preserve">Since about 22 July 2024 the children have lived with me and spent time with the Respondent on alternate weekends and on Wednesdays, consistent with the interim orders made on 19 September 2025.</w:t>
      </w:r>
    </w:p>
    <w:p>
      <w:pPr>
        <w:pStyle w:val="Heading2"/>
      </w:pPr>
      <w:r>
        <w:t xml:space="preserve">B. Care of the children and schooling</w:t>
      </w:r>
    </w:p>
    <w:p>
      <w:pPr>
        <w:pStyle w:val="ListParagraph"/>
        <w:numPr>
          <w:ilvl w:val="0"/>
          <w:numId w:val="2"/>
        </w:numPr>
        <w:spacing w:after="120"/>
        <w:jc w:val="both"/>
      </w:pPr>
      <w:r>
        <w:rPr>
          <w:sz w:val="20"/>
          <w:szCs w:val="20"/>
        </w:rPr>
        <w:t xml:space="preserve">I have been the children's primary carer since separation. I manage their daily routine, homework, medical appointments, school administration and most communications with the school. Annexed to this affidavit and marked "EH-1" is a bundle of parenting communications and changeover records, including a summary of school communications.</w:t>
      </w:r>
    </w:p>
    <w:p>
      <w:pPr>
        <w:pStyle w:val="ListParagraph"/>
        <w:numPr>
          <w:ilvl w:val="0"/>
          <w:numId w:val="2"/>
        </w:numPr>
        <w:spacing w:after="120"/>
        <w:jc w:val="both"/>
      </w:pPr>
      <w:r>
        <w:rPr>
          <w:sz w:val="20"/>
          <w:szCs w:val="20"/>
        </w:rPr>
        <w:t xml:space="preserve">I accept that the Respondent has attended a number of school and sporting events, including parent-teacher interviews and Max's Saturday soccer, and a meeting about Max's asthma. I previously said the Respondent "rarely" attended school matters. On reflection, he attended more than that statement suggested for some events, although the day-to-day administration has fallen to me.</w:t>
      </w:r>
    </w:p>
    <w:p>
      <w:pPr>
        <w:spacing w:after="80" w:before="120"/>
      </w:pPr>
      <w:r>
        <w:rPr>
          <w:i/>
          <w:iCs/>
          <w:color w:val="7A7974"/>
          <w:sz w:val="15"/>
          <w:szCs w:val="15"/>
        </w:rPr>
        <w:t xml:space="preserve">Evaluator note (C-001): paragraph 5 is a partial walk-back of the absolute language in CRT.003 ¶4 but the affidavit still frames the Respondent's involvement as minimal day-to-day; the school principal statement (AFF.011) and annexure DH-1 (AFF.005) indicate greater involvement than the Applicant concedes.</w:t>
      </w:r>
    </w:p>
    <w:p>
      <w:pPr>
        <w:pStyle w:val="ListParagraph"/>
        <w:numPr>
          <w:ilvl w:val="0"/>
          <w:numId w:val="2"/>
        </w:numPr>
        <w:spacing w:after="120"/>
        <w:jc w:val="both"/>
      </w:pPr>
      <w:r>
        <w:rPr>
          <w:sz w:val="20"/>
          <w:szCs w:val="20"/>
        </w:rPr>
        <w:t xml:space="preserve">In September 2024 the school welfare coordinator contacted both of us because Sophie appeared anxious. Sophie has since seen a counsellor at Riverside Child Psychology. On 27 February 2025 I rearranged one of Sophie's counselling appointments to secure an earlier session. I accept the Respondent says he was not consulted about the change; I told him about the counselling but I accept I did not give him the provider's contact details at that time.</w:t>
      </w:r>
    </w:p>
    <w:p>
      <w:pPr>
        <w:pStyle w:val="Heading2"/>
      </w:pPr>
      <w:r>
        <w:t xml:space="preserve">C. Risk, conflict and alcohol</w:t>
      </w:r>
    </w:p>
    <w:p>
      <w:pPr>
        <w:pStyle w:val="ListParagraph"/>
        <w:numPr>
          <w:ilvl w:val="0"/>
          <w:numId w:val="2"/>
        </w:numPr>
        <w:spacing w:after="120"/>
        <w:jc w:val="both"/>
      </w:pPr>
      <w:r>
        <w:rPr>
          <w:sz w:val="20"/>
          <w:szCs w:val="20"/>
        </w:rPr>
        <w:t xml:space="preserve">I remain concerned about conflict at changeovers and about the Respondent's use of alcohol. On 28 May 2023, after a family lunch at which the Respondent had been drinking, he became angry and raised his voice in front of the children. He sent me a text message that evening apologising. A copy is at annexure EH-1.</w:t>
      </w:r>
    </w:p>
    <w:p>
      <w:pPr>
        <w:pStyle w:val="ListParagraph"/>
        <w:numPr>
          <w:ilvl w:val="0"/>
          <w:numId w:val="2"/>
        </w:numPr>
        <w:spacing w:after="120"/>
        <w:jc w:val="both"/>
      </w:pPr>
      <w:r>
        <w:rPr>
          <w:sz w:val="20"/>
          <w:szCs w:val="20"/>
        </w:rPr>
        <w:t xml:space="preserve">On 18 November 2024 there was an incident at changeover outside my home. The Respondent beeped his car horn repeatedly and raised his voice. Our neighbour, Ms Leah Nguyen, telephoned the police, who attended. No charges were laid. The children were very distressed. I accept that I was also upset and that my voice was raised; I do not accept that I caused the incident.</w:t>
      </w:r>
    </w:p>
    <w:p>
      <w:pPr>
        <w:spacing w:after="80" w:before="120"/>
      </w:pPr>
      <w:r>
        <w:rPr>
          <w:i/>
          <w:iCs/>
          <w:color w:val="7A7974"/>
          <w:sz w:val="15"/>
          <w:szCs w:val="15"/>
        </w:rPr>
        <w:t xml:space="preserve">Evaluator note (C-002 corroboration): paragraph 9 is consistent with the neighbour statement (AFF.010) and police record (PAR.011) that both parents were distressed and there was no physical violence — it qualifies any one-sided risk framing.</w:t>
      </w:r>
    </w:p>
    <w:p>
      <w:pPr>
        <w:pStyle w:val="ListParagraph"/>
        <w:numPr>
          <w:ilvl w:val="0"/>
          <w:numId w:val="2"/>
        </w:numPr>
        <w:spacing w:after="120"/>
        <w:jc w:val="both"/>
      </w:pPr>
      <w:r>
        <w:rPr>
          <w:sz w:val="20"/>
          <w:szCs w:val="20"/>
        </w:rPr>
        <w:t xml:space="preserve">On 13 April 2025 there was a further incident at changeover in the school car park. I contacted police but did not pursue a formal complaint. I felt intimidated. The children were again exposed to conflict.</w:t>
      </w:r>
    </w:p>
    <w:p>
      <w:pPr>
        <w:pStyle w:val="ListParagraph"/>
        <w:numPr>
          <w:ilvl w:val="0"/>
          <w:numId w:val="2"/>
        </w:numPr>
        <w:spacing w:after="120"/>
        <w:jc w:val="both"/>
      </w:pPr>
      <w:r>
        <w:rPr>
          <w:sz w:val="20"/>
          <w:szCs w:val="20"/>
        </w:rPr>
        <w:t xml:space="preserve">I do not say the Respondent has ever harmed the children or cared for them while intoxicated. My concern is the emotional effect on the children of his volatility and drinking, and the unpredictability at changeovers.</w:t>
      </w:r>
    </w:p>
    <w:p>
      <w:pPr>
        <w:pStyle w:val="Heading2"/>
      </w:pPr>
      <w:r>
        <w:t xml:space="preserve">D. Communication and decision-making</w:t>
      </w:r>
    </w:p>
    <w:p>
      <w:pPr>
        <w:pStyle w:val="ListParagraph"/>
        <w:numPr>
          <w:ilvl w:val="0"/>
          <w:numId w:val="2"/>
        </w:numPr>
        <w:spacing w:after="120"/>
        <w:jc w:val="both"/>
      </w:pPr>
      <w:r>
        <w:rPr>
          <w:sz w:val="20"/>
          <w:szCs w:val="20"/>
        </w:rPr>
        <w:t xml:space="preserve">I believe communication should occur through the ParentComms application except in genuine emergencies. The Respondent sometimes responds late or in a manner I find critical. On 3 November 2025 the Respondent sent me direct text messages outside the application; he says these concerned urgent asthma medication for Max. I accept Max's asthma can require an urgent response, but I ask that non-urgent communication stay within the application.</w:t>
      </w:r>
    </w:p>
    <w:p>
      <w:pPr>
        <w:pStyle w:val="ListParagraph"/>
        <w:numPr>
          <w:ilvl w:val="0"/>
          <w:numId w:val="2"/>
        </w:numPr>
        <w:spacing w:after="120"/>
        <w:jc w:val="both"/>
      </w:pPr>
      <w:r>
        <w:rPr>
          <w:sz w:val="20"/>
          <w:szCs w:val="20"/>
        </w:rPr>
        <w:t xml:space="preserve">On 15 January 2025 the Respondent took the children to the Central Coast for three nights. He told me the location (Avoca Beach) and the duration, but did not give me the accommodation address despite my request. I previously described this as a failure to provide an itinerary; I clarify that he provided a partial itinerary but not the accommodation details.</w:t>
      </w:r>
    </w:p>
    <w:p>
      <w:pPr>
        <w:spacing w:after="80" w:before="120"/>
      </w:pPr>
      <w:r>
        <w:rPr>
          <w:i/>
          <w:iCs/>
          <w:color w:val="7A7974"/>
          <w:sz w:val="15"/>
          <w:szCs w:val="15"/>
        </w:rPr>
        <w:t xml:space="preserve">Evaluator note (C-010): paragraph 13 corrects the earlier 'no itinerary' account (CRT.003 ¶9) to 'partial itinerary, no accommodation address' — a temporal/instruction clarification rather than a fabrication. Supported by EH-1 Tab 6 and PAR.014.</w:t>
      </w:r>
    </w:p>
    <w:p>
      <w:pPr>
        <w:pStyle w:val="Heading2"/>
      </w:pPr>
      <w:r>
        <w:t xml:space="preserve">E. Property</w:t>
      </w:r>
    </w:p>
    <w:p>
      <w:pPr>
        <w:pStyle w:val="ListParagraph"/>
        <w:numPr>
          <w:ilvl w:val="0"/>
          <w:numId w:val="2"/>
        </w:numPr>
        <w:spacing w:after="120"/>
        <w:jc w:val="both"/>
      </w:pPr>
      <w:r>
        <w:rPr>
          <w:sz w:val="20"/>
          <w:szCs w:val="20"/>
        </w:rPr>
        <w:t xml:space="preserve">The former matrimonial home at 12 Marian Street is held in our joint names and is subject to a mortgage with Settler Bank. I wish to retain the home if I can refinance the mortgage into my sole name within 90 days.</w:t>
      </w:r>
    </w:p>
    <w:p>
      <w:pPr>
        <w:pStyle w:val="ListParagraph"/>
        <w:numPr>
          <w:ilvl w:val="0"/>
          <w:numId w:val="2"/>
        </w:numPr>
        <w:spacing w:after="120"/>
        <w:jc w:val="both"/>
      </w:pPr>
      <w:r>
        <w:rPr>
          <w:sz w:val="20"/>
          <w:szCs w:val="20"/>
        </w:rPr>
        <w:t xml:space="preserve">The Respondent is the director of Hart &amp; Vale Studio Pty Ltd, an architecture business. I believe the business has greater value and income capacity than the Respondent discloses. I am concerned about: (a) the timing of invoicing in December 2023, which I believe was deferred to January 2024 and reduced the apparent value of the business; and (b) a business account that was not disclosed in the Respondent's first Financial Statement and which the Respondent later described as dormant.</w:t>
      </w:r>
    </w:p>
    <w:p>
      <w:pPr>
        <w:spacing w:after="80" w:before="120"/>
      </w:pPr>
      <w:r>
        <w:rPr>
          <w:i/>
          <w:iCs/>
          <w:color w:val="7A7974"/>
          <w:sz w:val="15"/>
          <w:szCs w:val="15"/>
        </w:rPr>
        <w:t xml:space="preserve">Evaluator note (C-006/C-007): paragraph 16 links the Applicant's property case to the December 2023 delayed invoicing and the omitted/'dormant' business account. The bookkeeper affidavit (AFF.012) and annexure DH-2 (AFF.006) give a nuanced account of both.</w:t>
      </w:r>
    </w:p>
    <w:p>
      <w:pPr>
        <w:pStyle w:val="ListParagraph"/>
        <w:numPr>
          <w:ilvl w:val="0"/>
          <w:numId w:val="2"/>
        </w:numPr>
        <w:spacing w:after="120"/>
        <w:jc w:val="both"/>
      </w:pPr>
      <w:r>
        <w:rPr>
          <w:sz w:val="20"/>
          <w:szCs w:val="20"/>
        </w:rPr>
        <w:t xml:space="preserve">In March 2022 my parents, Margaret and Peter Lawson, advanced $120,000 toward reducing the mortgage. I say that advance was a loan made on the understanding it would be repaid and that it remains repayable. I refer to the transfer record, the family messages and the loan note at annexure EH-2. I accept that the loan note was prepared in 2024 and that it is not signed.</w:t>
      </w:r>
    </w:p>
    <w:p>
      <w:pPr>
        <w:spacing w:after="80" w:before="120"/>
      </w:pPr>
      <w:r>
        <w:rPr>
          <w:i/>
          <w:iCs/>
          <w:color w:val="7A7974"/>
          <w:sz w:val="15"/>
          <w:szCs w:val="15"/>
        </w:rPr>
        <w:t xml:space="preserve">Evaluator note (C-005): paragraph 17 maintains the 'loan' characterisation while conceding the note is later and unsigned and the contemporaneous messages are equivocal (EH-2 Tabs 2–3; FIN.019–021).</w:t>
      </w:r>
    </w:p>
    <w:p>
      <w:pPr>
        <w:pStyle w:val="ListParagraph"/>
        <w:numPr>
          <w:ilvl w:val="0"/>
          <w:numId w:val="2"/>
        </w:numPr>
        <w:spacing w:after="120"/>
        <w:jc w:val="both"/>
      </w:pPr>
      <w:r>
        <w:rPr>
          <w:sz w:val="20"/>
          <w:szCs w:val="20"/>
        </w:rPr>
        <w:t xml:space="preserve">I am concerned that the Respondent used joint funds for personal expenses after separation, including a holiday and a cash advance. My add-back schedule is at annexure EH-2; I accept that one or two items in it may be ordinary expenses and I do not press those.</w:t>
      </w:r>
    </w:p>
    <w:p>
      <w:pPr>
        <w:pStyle w:val="Heading2"/>
      </w:pPr>
      <w:r>
        <w:t xml:space="preserve">F. Orders sought</w:t>
      </w:r>
    </w:p>
    <w:p>
      <w:pPr>
        <w:pStyle w:val="ListParagraph"/>
        <w:numPr>
          <w:ilvl w:val="0"/>
          <w:numId w:val="2"/>
        </w:numPr>
        <w:spacing w:after="120"/>
        <w:jc w:val="both"/>
      </w:pPr>
      <w:r>
        <w:rPr>
          <w:sz w:val="20"/>
          <w:szCs w:val="20"/>
        </w:rPr>
        <w:t xml:space="preserve">I seek the orders set out in my amended proposed final orders dated 1 May 2026 (CRT.018), namely that the children live with me, that I have sole parental responsibility for schooling and health (with a duty to consult and provide reports), that the Respondent's time increase on a staged basis, and the property orders set out there. I believe those orders are in the children's best interests and are just and equitable.</w:t>
      </w:r>
    </w:p>
    <w:p>
      <w:pPr>
        <w:pStyle w:val="ListParagraph"/>
        <w:numPr>
          <w:ilvl w:val="0"/>
          <w:numId w:val="2"/>
        </w:numPr>
        <w:spacing w:after="120"/>
        <w:jc w:val="both"/>
      </w:pPr>
      <w:r>
        <w:rPr>
          <w:sz w:val="20"/>
          <w:szCs w:val="20"/>
        </w:rPr>
        <w:t xml:space="preserve">This affidavit is true to the best of my knowledge and belief.</w:t>
      </w:r>
    </w:p>
    <w:tbl>
      <w:tblPr>
        <w:tblW w:type="dxa" w:w="9026"/>
        <w:tblBorders>
          <w:top w:val="none"/>
          <w:left w:val="none"/>
          <w:bottom w:val="none"/>
          <w:right w:val="none"/>
          <w:insideH w:val="none"/>
          <w:insideV w:val="none"/>
        </w:tblBorders>
      </w:tblPr>
      <w:tblGrid>
        <w:gridCol w:w="4513"/>
        <w:gridCol w:w="4513"/>
      </w:tblGrid>
      <w:tr>
        <w:tc>
          <w:tcPr>
            <w:tcMar>
              <w:top w:type="dxa" w:w="200"/>
              <w:left w:type="dxa" w:w="0"/>
              <w:bottom w:type="dxa" w:w="40"/>
              <w:right w:type="dxa" w:w="120"/>
            </w:tcMar>
          </w:tcPr>
          <w:p>
            <w:r>
              <w:rPr>
                <w:color w:val="7A7974"/>
                <w:sz w:val="18"/>
                <w:szCs w:val="18"/>
              </w:rPr>
              <w:t xml:space="preserve">Affirmed by the deponent</w:t>
            </w:r>
          </w:p>
        </w:tc>
        <w:tc>
          <w:tcPr>
            <w:tcMar>
              <w:top w:type="dxa" w:w="200"/>
              <w:left w:type="dxa" w:w="120"/>
              <w:bottom w:type="dxa" w:w="40"/>
              <w:right w:type="dxa" w:w="0"/>
            </w:tcMar>
          </w:tcPr>
          <w:p>
            <w:r>
              <w:rPr>
                <w:color w:val="7A7974"/>
                <w:sz w:val="18"/>
                <w:szCs w:val="18"/>
              </w:rPr>
              <w:t xml:space="preserve">Before me</w:t>
            </w:r>
          </w:p>
        </w:tc>
      </w:tr>
      <w:tr>
        <w:tc>
          <w:tcPr>
            <w:tcBorders>
              <w:bottom w:val="single" w:color="C9C6BF" w:sz="4"/>
            </w:tcBorders>
            <w:tcMar>
              <w:top w:type="dxa" w:w="260"/>
              <w:left w:type="dxa" w:w="0"/>
              <w:bottom w:type="dxa" w:w="40"/>
              <w:right w:type="dxa" w:w="120"/>
            </w:tcMar>
          </w:tcPr>
          <w:p>
            <w:r>
              <w:rPr>
                <w:sz w:val="20"/>
                <w:szCs w:val="20"/>
              </w:rPr>
              <w:t xml:space="preserve">Emily Margaret Hart</w:t>
            </w:r>
          </w:p>
        </w:tc>
        <w:tc>
          <w:tcPr>
            <w:tcBorders>
              <w:bottom w:val="single" w:color="C9C6BF" w:sz="4"/>
            </w:tcBorders>
            <w:tcMar>
              <w:top w:type="dxa" w:w="260"/>
              <w:left w:type="dxa" w:w="120"/>
              <w:bottom w:type="dxa" w:w="40"/>
              <w:right w:type="dxa" w:w="0"/>
            </w:tcMar>
          </w:tcPr>
          <w:p>
            <w:r>
              <w:rPr>
                <w:sz w:val="20"/>
                <w:szCs w:val="20"/>
              </w:rPr>
              <w:t xml:space="preserve"/>
            </w:r>
          </w:p>
        </w:tc>
      </w:tr>
      <w:tr>
        <w:tc>
          <w:tcPr>
            <w:tcMar>
              <w:top w:type="dxa" w:w="30"/>
              <w:left w:type="dxa" w:w="0"/>
              <w:bottom w:type="dxa" w:w="40"/>
              <w:right w:type="dxa" w:w="120"/>
            </w:tcMar>
          </w:tcPr>
          <w:p>
            <w:r>
              <w:rPr>
                <w:color w:val="7A7974"/>
                <w:sz w:val="15"/>
                <w:szCs w:val="15"/>
              </w:rPr>
              <w:t xml:space="preserve">(signature of deponent)</w:t>
            </w:r>
          </w:p>
        </w:tc>
        <w:tc>
          <w:tcPr>
            <w:tcMar>
              <w:top w:type="dxa" w:w="30"/>
              <w:left w:type="dxa" w:w="120"/>
              <w:bottom w:type="dxa" w:w="40"/>
              <w:right w:type="dxa" w:w="0"/>
            </w:tcMar>
          </w:tcPr>
          <w:p>
            <w:r>
              <w:rPr>
                <w:color w:val="7A7974"/>
                <w:sz w:val="15"/>
                <w:szCs w:val="15"/>
              </w:rPr>
              <w:t xml:space="preserve">(name and capacity of witness — Australian legal practitioner / authorised witness)</w:t>
            </w:r>
          </w:p>
        </w:tc>
      </w:tr>
      <w:tr>
        <w:tc>
          <w:tcPr>
            <w:tcMar>
              <w:top w:type="dxa" w:w="120"/>
              <w:left w:type="dxa" w:w="0"/>
              <w:bottom w:type="dxa" w:w="40"/>
              <w:right w:type="dxa" w:w="120"/>
            </w:tcMar>
          </w:tcPr>
          <w:p>
            <w:r>
              <w:rPr>
                <w:sz w:val="18"/>
                <w:szCs w:val="18"/>
              </w:rPr>
              <w:t xml:space="preserve">Date: 29 May 2026</w:t>
            </w:r>
          </w:p>
        </w:tc>
        <w:tc>
          <w:tcPr>
            <w:tcMar>
              <w:top w:type="dxa" w:w="120"/>
              <w:left w:type="dxa" w:w="120"/>
              <w:bottom w:type="dxa" w:w="40"/>
              <w:right w:type="dxa" w:w="0"/>
            </w:tcMar>
          </w:tcPr>
          <w:p>
            <w:r>
              <w:rPr>
                <w:color w:val="7A7974"/>
                <w:sz w:val="18"/>
                <w:szCs w:val="18"/>
              </w:rPr>
              <w:t xml:space="preserve">Place: Sydney (simulated)</w:t>
            </w:r>
          </w:p>
        </w:tc>
      </w:tr>
    </w:tbl>
    <w:p>
      <w:pPr>
        <w:spacing w:after="80" w:before="120"/>
      </w:pPr>
      <w:r>
        <w:rPr>
          <w:i/>
          <w:iCs/>
          <w:color w:val="7A7974"/>
          <w:sz w:val="15"/>
          <w:szCs w:val="15"/>
        </w:rPr>
        <w:t xml:space="preserve">Overall evaluator note: This trial affidavit deliberately softens several of the Applicant's earlier overstatements (C-001, C-010) while preserving contested framing (C-005, business concerns). It should read as a careful but partisan trial affidavit.</w:t>
      </w:r>
    </w:p>
    <w:p>
      <w:pPr>
        <w:pBdr>
          <w:top w:val="single" w:color="C9C6BF" w:sz="4" w:space="6"/>
        </w:pBdr>
        <w:spacing w:after="40" w:before="220"/>
      </w:pPr>
    </w:p>
    <w:p>
      <w:r>
        <w:rPr>
          <w:i/>
          <w:iCs/>
          <w:color w:val="7A7974"/>
          <w:sz w:val="15"/>
          <w:szCs w:val="15"/>
        </w:rPr>
        <w:t xml:space="preserve">SYNTHETIC DOCUMENT — This is a fictional document in the Hart v Hart demonstration matter. All parties, lawyers, addresses, businesses, schools, clinics, file numbers and events are invented for lawyer-facing AI demonstration and evaluation. It is NOT legal advice, NOT a filed or sworn court document, carries no court seal, and the court formatting is simulated.</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C6BF" w:sz="4" w:space="6"/>
      </w:pBdr>
      <w:tabs>
        <w:tab w:val="right" w:pos="9026"/>
      </w:tabs>
    </w:pPr>
    <w:r>
      <w:rPr>
        <w:color w:val="7A7974"/>
        <w:sz w:val="15"/>
        <w:szCs w:val="15"/>
      </w:rPr>
      <w:t xml:space="preserve">AFF.001 — Emily Hart trial affidavit (synthetic)</w:t>
    </w:r>
    <w:r>
      <w:rPr>
        <w:sz w:val="15"/>
        <w:szCs w:val="15"/>
      </w:rPr>
      <w:t xml:space="preserve">	</w:t>
    </w:r>
    <w:r>
      <w:rPr>
        <w:color w:val="7A7974"/>
        <w:sz w:val="15"/>
        <w:szCs w:val="15"/>
      </w:rPr>
      <w:t xml:space="preserve">Page </w:t>
    </w:r>
    <w:r>
      <w:rPr>
        <w:color w:val="7A7974"/>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7A7974"/>
        <w:sz w:val="15"/>
        <w:szCs w:val="15"/>
      </w:rPr>
      <w:t xml:space="preserve">Synthetic demonstration file — not a filed court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60" w:hanging="360"/>
      </w:pPr>
    </w:lvl>
    <w:lvl w:ilvl="1" w15:tentative="1">
      <w:start w:val="1"/>
      <w:numFmt w:val="lowerLetter"/>
      <w:lvlText w:val="(%2)"/>
      <w:lvlJc w:val="left"/>
      <w:pPr>
        <w:ind w:left="1120" w:hanging="400"/>
      </w:pPr>
    </w:lvl>
  </w:abstractNum>
  <w:abstractNum w:abstractNumId="3"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8251D"/>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40"/>
    </w:pPr>
    <w:rPr>
      <w:rFonts w:ascii="Calibri" w:cs="Calibri" w:eastAsia="Calibri" w:hAnsi="Calibri"/>
      <w:b/>
      <w:bCs/>
      <w:color w:val="0C4E54"/>
      <w:sz w:val="30"/>
      <w:szCs w:val="30"/>
    </w:rPr>
  </w:style>
  <w:style w:type="paragraph" w:styleId="Heading2">
    <w:name w:val="Heading 2"/>
    <w:basedOn w:val="Normal"/>
    <w:next w:val="Normal"/>
    <w:qFormat/>
    <w:pPr>
      <w:spacing w:after="80" w:before="200"/>
    </w:pPr>
    <w:rPr>
      <w:rFonts w:ascii="Calibri" w:cs="Calibri" w:eastAsia="Calibri" w:hAnsi="Calibri"/>
      <w:b/>
      <w:bCs/>
      <w:color w:val="0C4E54"/>
      <w:sz w:val="23"/>
      <w:szCs w:val="23"/>
    </w:rPr>
  </w:style>
  <w:style w:type="paragraph" w:styleId="Heading3">
    <w:name w:val="Heading 3"/>
    <w:basedOn w:val="Normal"/>
    <w:next w:val="Normal"/>
    <w:qFormat/>
    <w:pPr>
      <w:spacing w:after="60" w:before="140"/>
    </w:pPr>
    <w:rPr>
      <w:rFonts w:ascii="Calibri" w:cs="Calibri" w:eastAsia="Calibri" w:hAnsi="Calibri"/>
      <w:b/>
      <w:bCs/>
      <w:color w:val="01696F"/>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 v Hart Trial Affidavit of Emily Hart (Simulated)</dc:title>
  <dc:creator>Perplexity Computer</dc:creator>
  <dc:description>Synthetic Hart v Hart demonstration document</dc:description>
  <cp:lastModifiedBy>Un-named</cp:lastModifiedBy>
  <cp:revision>1</cp:revision>
  <dcterms:created xsi:type="dcterms:W3CDTF">2026-06-08T04:21:57.095Z</dcterms:created>
  <dcterms:modified xsi:type="dcterms:W3CDTF">2026-06-08T04:21:57.095Z</dcterms:modified>
</cp:coreProperties>
</file>

<file path=docProps/custom.xml><?xml version="1.0" encoding="utf-8"?>
<Properties xmlns="http://schemas.openxmlformats.org/officeDocument/2006/custom-properties" xmlns:vt="http://schemas.openxmlformats.org/officeDocument/2006/docPropsVTypes"/>
</file>