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b/>
          <w:bCs/>
          <w:color w:val="0C4E54"/>
          <w:sz w:val="21"/>
          <w:szCs w:val="21"/>
        </w:rPr>
        <w:t xml:space="preserve">IN THE FEDERAL CIRCUIT AND FAMILY COURT OF AUSTRALIA (DIVISION 2)</w:t>
      </w:r>
    </w:p>
    <w:p>
      <w:pPr>
        <w:spacing w:after="20"/>
        <w:jc w:val="center"/>
      </w:pPr>
      <w:r>
        <w:rPr>
          <w:color w:val="7A7974"/>
          <w:sz w:val="16"/>
          <w:szCs w:val="16"/>
        </w:rPr>
        <w:t xml:space="preserve">(Simulated proceeding — synthetic demonstration matter)</w:t>
      </w:r>
    </w:p>
    <w:p>
      <w:pPr>
        <w:spacing w:after="120"/>
        <w:jc w:val="center"/>
      </w:pPr>
      <w:r>
        <w:rPr>
          <w:color w:val="7A7974"/>
          <w:sz w:val="15"/>
          <w:szCs w:val="15"/>
        </w:rPr>
        <w:t xml:space="preserve">Sydney Registry (simulated)  |  File No: SYC 2025/004187 (illustrative)</w:t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5"/>
        <w:gridCol w:w="7220"/>
      </w:tblGrid>
      <w:tr>
        <w:tc>
          <w:tcPr>
            <w:tcW w:type="dxa" w:w="1805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r>
              <w:rPr>
                <w:b/>
                <w:bCs/>
                <w:color w:val="7A7974"/>
                <w:sz w:val="17"/>
                <w:szCs w:val="17"/>
              </w:rPr>
              <w:t xml:space="preserve">BETWEEN:</w:t>
            </w:r>
          </w:p>
        </w:tc>
        <w:tc>
          <w:tcPr>
            <w:tcW w:type="dxa" w:w="7220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8251D"/>
                <w:sz w:val="21"/>
                <w:szCs w:val="21"/>
              </w:rPr>
              <w:t xml:space="preserve">EMILY MARGARET HART</w:t>
            </w:r>
          </w:p>
        </w:tc>
      </w:tr>
      <w:tr>
        <w:tc>
          <w:tcPr>
            <w:tcW w:type="dxa" w:w="1805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r>
              <w:rPr>
                <w:b/>
                <w:bCs/>
                <w:color w:val="7A7974"/>
                <w:sz w:val="17"/>
                <w:szCs w:val="17"/>
              </w:rPr>
              <w:t xml:space="preserve"/>
            </w:r>
          </w:p>
        </w:tc>
        <w:tc>
          <w:tcPr>
            <w:tcW w:type="dxa" w:w="7220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>
            <w:pPr>
              <w:jc w:val="right"/>
            </w:pPr>
            <w:r>
              <w:rPr>
                <w:b w:val="false"/>
                <w:bCs w:val="false"/>
                <w:i/>
                <w:iCs/>
                <w:color w:val="7A7974"/>
                <w:sz w:val="17"/>
                <w:szCs w:val="17"/>
              </w:rPr>
              <w:t xml:space="preserve">Applicant</w:t>
            </w:r>
          </w:p>
        </w:tc>
      </w:tr>
      <w:tr>
        <w:tc>
          <w:tcPr>
            <w:tcW w:type="dxa" w:w="1805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r>
              <w:rPr>
                <w:b/>
                <w:bCs/>
                <w:color w:val="7A7974"/>
                <w:sz w:val="17"/>
                <w:szCs w:val="17"/>
              </w:rPr>
              <w:t xml:space="preserve">AND:</w:t>
            </w:r>
          </w:p>
        </w:tc>
        <w:tc>
          <w:tcPr>
            <w:tcW w:type="dxa" w:w="7220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8251D"/>
                <w:sz w:val="21"/>
                <w:szCs w:val="21"/>
              </w:rPr>
              <w:t xml:space="preserve">DANIEL JAMES HART</w:t>
            </w:r>
          </w:p>
        </w:tc>
      </w:tr>
      <w:tr>
        <w:tc>
          <w:tcPr>
            <w:tcW w:type="dxa" w:w="1805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80"/>
            </w:tcMar>
          </w:tcPr>
          <w:p>
            <w:r>
              <w:rPr>
                <w:b/>
                <w:bCs/>
                <w:color w:val="7A7974"/>
                <w:sz w:val="17"/>
                <w:szCs w:val="17"/>
              </w:rPr>
              <w:t xml:space="preserve"/>
            </w:r>
          </w:p>
        </w:tc>
        <w:tc>
          <w:tcPr>
            <w:tcW w:type="dxa" w:w="7220"/>
            <w:tcBorders>
              <w:top w:val="none"/>
              <w:left w:val="none"/>
              <w:bottom w:val="none"/>
              <w:right w:val="none"/>
            </w:tcBorders>
            <w:tcMar>
              <w:top w:type="dxa" w:w="20"/>
              <w:left w:type="dxa" w:w="0"/>
              <w:bottom w:type="dxa" w:w="20"/>
              <w:right w:type="dxa" w:w="0"/>
            </w:tcMar>
          </w:tcPr>
          <w:p>
            <w:pPr>
              <w:jc w:val="right"/>
            </w:pPr>
            <w:r>
              <w:rPr>
                <w:b w:val="false"/>
                <w:bCs w:val="false"/>
                <w:i/>
                <w:iCs/>
                <w:color w:val="7A7974"/>
                <w:sz w:val="17"/>
                <w:szCs w:val="17"/>
              </w:rPr>
              <w:t xml:space="preserve">Respondent</w:t>
            </w:r>
          </w:p>
        </w:tc>
      </w:tr>
    </w:tbl>
    <w:p>
      <w:pPr>
        <w:pBdr>
          <w:bottom w:val="single" w:color="C9C6BF" w:sz="4" w:space="6"/>
        </w:pBdr>
        <w:spacing w:after="160"/>
      </w:pPr>
    </w:p>
    <w:p>
      <w:pPr>
        <w:spacing w:after="40"/>
        <w:jc w:val="center"/>
      </w:pPr>
      <w:r>
        <w:rPr>
          <w:b/>
          <w:bCs/>
          <w:color w:val="0C4E54"/>
          <w:sz w:val="30"/>
          <w:szCs w:val="30"/>
        </w:rPr>
        <w:t xml:space="preserve">APPLICANT — AMENDED PROPOSED FINAL ORDERS</w:t>
      </w:r>
    </w:p>
    <w:p>
      <w:pPr>
        <w:spacing w:after="160"/>
        <w:jc w:val="center"/>
      </w:pPr>
      <w:r>
        <w:rPr>
          <w:color w:val="7A7974"/>
          <w:sz w:val="18"/>
          <w:szCs w:val="18"/>
        </w:rPr>
        <w:t xml:space="preserve">Emily Margaret Hart — 1 May 2026 (after family report) (simulated)</w:t>
      </w:r>
    </w:p>
    <w:p>
      <w:pPr>
        <w:spacing w:after="120"/>
        <w:jc w:val="both"/>
      </w:pPr>
      <w:r>
        <w:rPr>
          <w:color w:val="28251D"/>
          <w:sz w:val="20"/>
          <w:szCs w:val="20"/>
        </w:rPr>
        <w:t xml:space="preserve">Following the release of the family report (21 March 2026), the Applicant amends her proposed final orders. The Applicant now accepts a staged increase in the children's time with the Respondent, while maintaining her position on decision-making for schooling and health and on the property division.</w:t>
      </w:r>
    </w:p>
    <w:p>
      <w:pPr>
        <w:pStyle w:val="Heading2"/>
      </w:pPr>
      <w:r>
        <w:t xml:space="preserve">Part 1 — Amended final parenting orders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children Sophie Hart and Max Hart live with the Applicant.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Applicant have sole parental responsibility for the children's schooling and health, with a duty to consult the Respondent (except in an emergency) and to provide the Respondent with copies of school and medical reports within 7 days; the parents otherwise to have equal shared parental responsibility for other major long-term decisions.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children spend time with the Respondent:</w:t>
      </w:r>
    </w:p>
    <w:p>
      <w:pPr>
        <w:pStyle w:val="ListParagraph"/>
        <w:numPr>
          <w:ilvl w:val="1"/>
          <w:numId w:val="2"/>
        </w:numPr>
        <w:spacing w:after="120"/>
        <w:jc w:val="both"/>
      </w:pPr>
      <w:r>
        <w:rPr>
          <w:sz w:val="20"/>
          <w:szCs w:val="20"/>
        </w:rPr>
        <w:t xml:space="preserve">for the first three months, each alternate weekend (Friday after school to Monday drop-off) and each Wednesday from after school to 7:30pm;</w:t>
      </w:r>
    </w:p>
    <w:p>
      <w:pPr>
        <w:pStyle w:val="ListParagraph"/>
        <w:numPr>
          <w:ilvl w:val="1"/>
          <w:numId w:val="2"/>
        </w:numPr>
        <w:spacing w:after="120"/>
        <w:jc w:val="both"/>
      </w:pPr>
      <w:r>
        <w:rPr>
          <w:sz w:val="20"/>
          <w:szCs w:val="20"/>
        </w:rPr>
        <w:t xml:space="preserve">thereafter, each alternate weekend extended to include Thursday and Monday nights, and one weeknight overnight in the alternate week (moving toward five nights per fortnight);</w:t>
      </w:r>
    </w:p>
    <w:p>
      <w:pPr>
        <w:pStyle w:val="ListParagraph"/>
        <w:numPr>
          <w:ilvl w:val="1"/>
          <w:numId w:val="2"/>
        </w:numPr>
        <w:spacing w:after="120"/>
        <w:jc w:val="both"/>
      </w:pPr>
      <w:r>
        <w:rPr>
          <w:sz w:val="20"/>
          <w:szCs w:val="20"/>
        </w:rPr>
        <w:t xml:space="preserve">one half of all school holidays; and</w:t>
      </w:r>
    </w:p>
    <w:p>
      <w:pPr>
        <w:pStyle w:val="ListParagraph"/>
        <w:numPr>
          <w:ilvl w:val="1"/>
          <w:numId w:val="2"/>
        </w:numPr>
        <w:spacing w:after="120"/>
        <w:jc w:val="both"/>
      </w:pPr>
      <w:r>
        <w:rPr>
          <w:sz w:val="20"/>
          <w:szCs w:val="20"/>
        </w:rPr>
        <w:t xml:space="preserve">specified special occasions by agreement.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changeovers occur at the children's school where practicable.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parents communicate through the ParentComms application, with an exception for genuine emergencies and urgent health matters (including Max's asthma medication).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Respondent not consume alcohol during, and for 12 hours before, his time with the children.</w:t>
      </w:r>
    </w:p>
    <w:p>
      <w:pPr>
        <w:spacing w:after="80" w:before="120"/>
      </w:pPr>
      <w:r>
        <w:rPr>
          <w:i/>
          <w:iCs/>
          <w:color w:val="7A7974"/>
          <w:sz w:val="15"/>
          <w:szCs w:val="15"/>
        </w:rPr>
        <w:t xml:space="preserve">The amended orders reflect the family report's support for stability with the Applicant alongside increased structured time with the Respondent if communication improves.</w:t>
      </w:r>
    </w:p>
    <w:p>
      <w:pPr>
        <w:pStyle w:val="Heading2"/>
      </w:pPr>
      <w:r>
        <w:t xml:space="preserve">Part 2 — Amended final property orders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Applicant retain the former matrimonial home, refinancing the Settler Bank mortgage into her sole name within 90 days, failing which the home be sold.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value of Hart &amp; Vale Studio Pty Ltd be taken in accordance with the single expert business valuation, adopting the normalised maintainable earnings approach including the disputed add-backs.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 $120,000 advanced by the Applicant's parents in March 2022 be treated as a liability of the parties, alternatively as a contribution made on the Applicant's behalf.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an adjustment be made for post-separation add-backs as particularised in the Applicant's add-back schedule (as updated).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That there be a superannuation splitting order to achieve an overall division of 58–60% to the Applicant and the balance to the Respondent.</w:t>
      </w:r>
    </w:p>
    <w:p>
      <w:pPr>
        <w:pStyle w:val="ListParagraph"/>
        <w:numPr>
          <w:ilvl w:val="0"/>
          <w:numId w:val="2"/>
        </w:numPr>
        <w:spacing w:after="120"/>
        <w:jc w:val="both"/>
      </w:pPr>
      <w:r>
        <w:rPr>
          <w:sz w:val="20"/>
          <w:szCs w:val="20"/>
        </w:rPr>
        <w:t xml:space="preserve">Costs as agreed or assessed.</w:t>
      </w:r>
    </w:p>
    <w:p>
      <w:pPr>
        <w:spacing w:after="80" w:before="120"/>
      </w:pPr>
      <w:r>
        <w:rPr>
          <w:i/>
          <w:iCs/>
          <w:color w:val="7A7974"/>
          <w:sz w:val="15"/>
          <w:szCs w:val="15"/>
        </w:rPr>
        <w:t xml:space="preserve">The Applicant has narrowed her property claim from 60–62% to 58–60% following disclosure and the valuations.</w:t>
      </w:r>
    </w:p>
    <w:p>
      <w:pPr>
        <w:pBdr>
          <w:top w:val="single" w:color="C9C6BF" w:sz="4" w:space="6"/>
        </w:pBdr>
        <w:spacing w:after="40" w:before="220"/>
      </w:pPr>
    </w:p>
    <w:p>
      <w:r>
        <w:rPr>
          <w:i/>
          <w:iCs/>
          <w:color w:val="7A7974"/>
          <w:sz w:val="15"/>
          <w:szCs w:val="15"/>
        </w:rPr>
        <w:t xml:space="preserve">SYNTHETIC DOCUMENT — This is a fictional document in the Hart v Hart demonstration matter. All parties, lawyers, addresses, businesses, schools, file numbers and events are invented for lawyer-facing AI demonstration. It is NOT legal advice, NOT a filed or sealed court document, carries no court seal, and the court formatting is simulated.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C6BF" w:sz="4" w:space="6"/>
      </w:pBdr>
      <w:tabs>
        <w:tab w:val="right" w:pos="9026"/>
      </w:tabs>
    </w:pPr>
    <w:r>
      <w:rPr>
        <w:color w:val="7A7974"/>
        <w:sz w:val="15"/>
        <w:szCs w:val="15"/>
      </w:rPr>
      <w:t xml:space="preserve">CRT.018 — Applicant amended proposed orders (synthetic)</w:t>
    </w:r>
    <w:r>
      <w:rPr>
        <w:sz w:val="15"/>
        <w:szCs w:val="15"/>
      </w:rPr>
      <w:t xml:space="preserve">	</w:t>
    </w:r>
    <w:r>
      <w:rPr>
        <w:color w:val="7A7974"/>
        <w:sz w:val="15"/>
        <w:szCs w:val="15"/>
      </w:rPr>
      <w:t xml:space="preserve">Page </w:t>
    </w:r>
    <w:r>
      <w:rPr>
        <w:color w:val="7A7974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7A7974"/>
        <w:sz w:val="15"/>
        <w:szCs w:val="15"/>
      </w:rPr>
      <w:t xml:space="preserve">Synthetic demonstration file — not a filed court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60"/>
      </w:pPr>
    </w:lvl>
    <w:lvl w:ilvl="1" w15:tentative="1">
      <w:start w:val="1"/>
      <w:numFmt w:val="lowerLetter"/>
      <w:lvlText w:val="(%2)"/>
      <w:lvlJc w:val="left"/>
      <w:pPr>
        <w:ind w:left="1100" w:hanging="3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8251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40"/>
      <w:outlineLvl w:val="0"/>
    </w:pPr>
    <w:rPr>
      <w:rFonts w:ascii="Calibri" w:cs="Calibri" w:eastAsia="Calibri" w:hAnsi="Calibri"/>
      <w:b/>
      <w:bCs/>
      <w:color w:val="0C4E5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Calibri" w:cs="Calibri" w:eastAsia="Calibri" w:hAnsi="Calibri"/>
      <w:b/>
      <w:bCs/>
      <w:color w:val="0C4E54"/>
      <w:sz w:val="23"/>
      <w:szCs w:val="23"/>
    </w:rPr>
  </w:style>
  <w:style w:type="paragraph" w:styleId="Heading3">
    <w:name w:val="Heading 3"/>
    <w:basedOn w:val="Normal"/>
    <w:next w:val="Normal"/>
    <w:qFormat/>
    <w:pPr>
      <w:spacing w:after="60" w:before="140"/>
      <w:outlineLvl w:val="2"/>
    </w:pPr>
    <w:rPr>
      <w:rFonts w:ascii="Calibri" w:cs="Calibri" w:eastAsia="Calibri" w:hAnsi="Calibri"/>
      <w:b/>
      <w:bCs/>
      <w:color w:val="01696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 v Hart Applicant Amended Proposed Final Orders (Simulated)</dc:title>
  <dc:creator>Perplexity Computer</dc:creator>
  <dc:description>Synthetic Hart v Hart demonstration document</dc:description>
  <cp:lastModifiedBy>Un-named</cp:lastModifiedBy>
  <cp:revision>1</cp:revision>
  <dcterms:created xsi:type="dcterms:W3CDTF">2026-06-07T03:08:16.118Z</dcterms:created>
  <dcterms:modified xsi:type="dcterms:W3CDTF">2026-06-07T03:08:16.118Z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